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E8885" w14:textId="77777777" w:rsidR="00891D82" w:rsidRDefault="00891D82" w:rsidP="00891D82">
      <w:pPr>
        <w:pStyle w:val="Sansinterligne"/>
      </w:pPr>
      <w:r>
        <w:rPr>
          <w:sz w:val="2"/>
          <w:szCs w:val="2"/>
        </w:rPr>
        <w:t> </w:t>
      </w:r>
    </w:p>
    <w:p w14:paraId="2AC83C12" w14:textId="3A053302" w:rsidR="00891D82" w:rsidRDefault="00891D82" w:rsidP="00891D82">
      <w:r>
        <w:rPr>
          <w:noProof/>
        </w:rPr>
        <w:drawing>
          <wp:inline distT="0" distB="0" distL="0" distR="0" wp14:anchorId="05B19004" wp14:editId="61093A0F">
            <wp:extent cx="5638800" cy="1295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54BA4" w14:textId="77777777" w:rsidR="00891D82" w:rsidRDefault="00891D82" w:rsidP="00891D82">
      <w:r>
        <w:rPr>
          <w:rFonts w:ascii="Calibri" w:hAnsi="Calibri" w:cs="Calibri"/>
          <w:lang w:eastAsia="fr-FR"/>
        </w:rPr>
        <w:br w:type="page"/>
      </w:r>
      <w:r>
        <w:lastRenderedPageBreak/>
        <w:t> </w:t>
      </w:r>
    </w:p>
    <w:p w14:paraId="6C23A8E5" w14:textId="77777777" w:rsidR="00891D82" w:rsidRDefault="00891D82" w:rsidP="00891D8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rFonts w:ascii="Times New Roman" w:hAnsi="Times New Roman" w:cs="Times New Roman"/>
          <w:sz w:val="24"/>
          <w:szCs w:val="24"/>
          <w:lang w:eastAsia="fr-FR"/>
        </w:rPr>
        <w:br w:type="textWrapping" w:clear="all"/>
      </w:r>
    </w:p>
    <w:p w14:paraId="2F133C9F" w14:textId="77777777" w:rsidR="00891D82" w:rsidRDefault="00891D82" w:rsidP="00891D82">
      <w:pPr>
        <w:pStyle w:val="En-ttedetabledesmatires"/>
      </w:pPr>
      <w:r>
        <w:t>Table des matières</w:t>
      </w:r>
    </w:p>
    <w:p w14:paraId="10097B1A" w14:textId="77777777" w:rsidR="00891D82" w:rsidRDefault="00891D82" w:rsidP="00891D82">
      <w:pPr>
        <w:pStyle w:val="TM1"/>
      </w:pPr>
      <w:hyperlink w:anchor="_Toc87264757" w:history="1">
        <w:r>
          <w:rPr>
            <w:rStyle w:val="Lienhypertexte"/>
          </w:rPr>
          <w:t>I-       Suivi de qualité</w:t>
        </w:r>
        <w:r>
          <w:rPr>
            <w:rStyle w:val="Lienhypertexte"/>
            <w:vanish/>
          </w:rPr>
          <w:t>. 2</w:t>
        </w:r>
      </w:hyperlink>
    </w:p>
    <w:p w14:paraId="56C45808" w14:textId="77777777" w:rsidR="00891D82" w:rsidRDefault="00891D82" w:rsidP="00891D82">
      <w:pPr>
        <w:pStyle w:val="TM2"/>
      </w:pPr>
      <w:hyperlink w:anchor="_Toc87264758" w:history="1">
        <w:r>
          <w:rPr>
            <w:rStyle w:val="Lienhypertexte"/>
          </w:rPr>
          <w:t>1-      Outils mis en place</w:t>
        </w:r>
        <w:r>
          <w:rPr>
            <w:rStyle w:val="Lienhypertexte"/>
            <w:vanish/>
          </w:rPr>
          <w:t>. 2</w:t>
        </w:r>
      </w:hyperlink>
    </w:p>
    <w:p w14:paraId="4571FE9A" w14:textId="77777777" w:rsidR="00891D82" w:rsidRDefault="00891D82" w:rsidP="00891D82">
      <w:pPr>
        <w:pStyle w:val="TM1"/>
      </w:pPr>
      <w:hyperlink w:anchor="_Toc87264759" w:history="1">
        <w:r>
          <w:rPr>
            <w:rStyle w:val="Lienhypertexte"/>
          </w:rPr>
          <w:t>II-     Etude de la dette technique</w:t>
        </w:r>
        <w:r>
          <w:rPr>
            <w:rStyle w:val="Lienhypertexte"/>
            <w:vanish/>
          </w:rPr>
          <w:t>. 3</w:t>
        </w:r>
      </w:hyperlink>
    </w:p>
    <w:p w14:paraId="41412FAA" w14:textId="77777777" w:rsidR="00891D82" w:rsidRDefault="00891D82" w:rsidP="00891D82">
      <w:pPr>
        <w:pStyle w:val="TM1"/>
      </w:pPr>
      <w:hyperlink w:anchor="_Toc87264760" w:history="1">
        <w:r>
          <w:rPr>
            <w:rStyle w:val="Lienhypertexte"/>
          </w:rPr>
          <w:t>III-         Suivi des performances</w:t>
        </w:r>
        <w:r>
          <w:rPr>
            <w:rStyle w:val="Lienhypertexte"/>
            <w:vanish/>
          </w:rPr>
          <w:t>. 4</w:t>
        </w:r>
      </w:hyperlink>
    </w:p>
    <w:p w14:paraId="7CCE5ECD" w14:textId="77777777" w:rsidR="00891D82" w:rsidRDefault="00891D82" w:rsidP="00891D82">
      <w:r>
        <w:t> </w:t>
      </w:r>
    </w:p>
    <w:p w14:paraId="52D84FED" w14:textId="49ECC464" w:rsidR="00891D82" w:rsidRDefault="00891D82" w:rsidP="00BB6E0C">
      <w:pPr>
        <w:pStyle w:val="Titre1"/>
        <w:ind w:left="1080" w:hanging="720"/>
      </w:pPr>
      <w:r>
        <w:rPr>
          <w:rFonts w:ascii="Calibri" w:hAnsi="Calibri" w:cs="Calibri"/>
          <w:lang w:eastAsia="fr-FR"/>
        </w:rPr>
        <w:br w:type="page"/>
      </w:r>
      <w:bookmarkStart w:id="0" w:name="_Toc87264757"/>
      <w:r>
        <w:lastRenderedPageBreak/>
        <w:t>I-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Suivi de qualité</w:t>
      </w:r>
      <w:bookmarkEnd w:id="0"/>
    </w:p>
    <w:p w14:paraId="32F2F62A" w14:textId="177F3C5B" w:rsidR="00891D82" w:rsidRDefault="00891D82" w:rsidP="00891D82">
      <w:r>
        <w:t> </w:t>
      </w:r>
      <w:r>
        <w:t>Deux outils ont été mis en place afin d’assurer le suivi de la qualité du code</w:t>
      </w:r>
    </w:p>
    <w:p w14:paraId="2DDA7E9A" w14:textId="77777777" w:rsidR="00891D82" w:rsidRDefault="00891D82" w:rsidP="00891D82">
      <w:proofErr w:type="spellStart"/>
      <w:r>
        <w:t>Codacy</w:t>
      </w:r>
      <w:proofErr w:type="spellEnd"/>
      <w:r>
        <w:t xml:space="preserve"> </w:t>
      </w:r>
    </w:p>
    <w:p w14:paraId="3237AF84" w14:textId="77777777" w:rsidR="00891D82" w:rsidRDefault="00891D82" w:rsidP="00891D82">
      <w:r>
        <w:t>                Analyse :</w:t>
      </w:r>
    </w:p>
    <w:p w14:paraId="1D551F11" w14:textId="77777777" w:rsidR="00891D82" w:rsidRDefault="00891D82" w:rsidP="00891D82">
      <w:pPr>
        <w:pStyle w:val="Paragraphedeliste"/>
        <w:ind w:left="1080" w:hanging="360"/>
      </w:pPr>
      <w:r>
        <w:t>-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Les vulnérabilités</w:t>
      </w:r>
    </w:p>
    <w:p w14:paraId="659586EC" w14:textId="77777777" w:rsidR="00891D82" w:rsidRDefault="00891D82" w:rsidP="00891D82">
      <w:pPr>
        <w:pStyle w:val="Paragraphedeliste"/>
        <w:ind w:left="1080" w:hanging="360"/>
      </w:pPr>
      <w:r>
        <w:t>-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Les mauvaises pratiques</w:t>
      </w:r>
    </w:p>
    <w:p w14:paraId="3465EAF8" w14:textId="77777777" w:rsidR="00891D82" w:rsidRDefault="00891D82" w:rsidP="00891D82">
      <w:pPr>
        <w:pStyle w:val="Paragraphedeliste"/>
        <w:ind w:left="1080" w:hanging="360"/>
      </w:pPr>
      <w:r>
        <w:t>-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Le code inutilisé</w:t>
      </w:r>
    </w:p>
    <w:p w14:paraId="44F400C3" w14:textId="77777777" w:rsidR="00891D82" w:rsidRDefault="00891D82" w:rsidP="00891D82">
      <w:pPr>
        <w:pStyle w:val="Paragraphedeliste"/>
        <w:ind w:left="1080" w:hanging="360"/>
      </w:pPr>
      <w:r>
        <w:t>-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La duplication de code</w:t>
      </w:r>
    </w:p>
    <w:p w14:paraId="01251E13" w14:textId="27DE7201" w:rsidR="00891D82" w:rsidRDefault="00891D82" w:rsidP="006B0A22">
      <w:pPr>
        <w:jc w:val="center"/>
      </w:pPr>
      <w:r>
        <w:rPr>
          <w:noProof/>
        </w:rPr>
        <w:drawing>
          <wp:inline distT="0" distB="0" distL="0" distR="0" wp14:anchorId="161731F7" wp14:editId="6B527FBB">
            <wp:extent cx="5760720" cy="37706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7348" w14:textId="77777777" w:rsidR="00891D82" w:rsidRDefault="00891D82" w:rsidP="00891D82">
      <w:r>
        <w:t> </w:t>
      </w:r>
    </w:p>
    <w:p w14:paraId="6DF6435B" w14:textId="77777777" w:rsidR="00891D82" w:rsidRDefault="00891D82" w:rsidP="00891D82">
      <w:proofErr w:type="spellStart"/>
      <w:r>
        <w:t>SonarQube</w:t>
      </w:r>
      <w:proofErr w:type="spellEnd"/>
      <w:r>
        <w:t> (</w:t>
      </w:r>
      <w:hyperlink r:id="rId13" w:history="1">
        <w:r>
          <w:rPr>
            <w:rStyle w:val="Lienhypertexte"/>
          </w:rPr>
          <w:t>https://www.sonarqube.org/</w:t>
        </w:r>
      </w:hyperlink>
      <w:r>
        <w:t>)</w:t>
      </w:r>
    </w:p>
    <w:p w14:paraId="1B82FA3A" w14:textId="77777777" w:rsidR="00891D82" w:rsidRDefault="00891D82" w:rsidP="00891D82">
      <w:pPr>
        <w:ind w:left="720"/>
      </w:pPr>
      <w:r>
        <w:t>Analyse :</w:t>
      </w:r>
    </w:p>
    <w:p w14:paraId="0AC63E31" w14:textId="77777777" w:rsidR="00891D82" w:rsidRDefault="00891D82" w:rsidP="00891D82">
      <w:pPr>
        <w:pStyle w:val="Paragraphedeliste"/>
        <w:ind w:left="1080" w:hanging="360"/>
      </w:pPr>
      <w:r>
        <w:t>-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La fiabilité du code (recherche de bugs)</w:t>
      </w:r>
    </w:p>
    <w:p w14:paraId="724C9D56" w14:textId="77777777" w:rsidR="00891D82" w:rsidRDefault="00891D82" w:rsidP="00891D82">
      <w:pPr>
        <w:pStyle w:val="Paragraphedeliste"/>
        <w:ind w:left="1080" w:hanging="360"/>
      </w:pPr>
      <w:r>
        <w:t>-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Les vulnérabilités</w:t>
      </w:r>
    </w:p>
    <w:p w14:paraId="003CEDA6" w14:textId="77777777" w:rsidR="00891D82" w:rsidRDefault="00891D82" w:rsidP="00891D82">
      <w:pPr>
        <w:pStyle w:val="Paragraphedeliste"/>
        <w:ind w:left="1080" w:hanging="360"/>
      </w:pPr>
      <w:r>
        <w:t>-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Les « Security Hotspots », morceaux de code potentiellement risqués point de vue sécurité, nécessitant une vérification de la part du développeur</w:t>
      </w:r>
    </w:p>
    <w:p w14:paraId="3C75A118" w14:textId="77777777" w:rsidR="00891D82" w:rsidRDefault="00891D82" w:rsidP="00891D82">
      <w:pPr>
        <w:pStyle w:val="Paragraphedeliste"/>
        <w:ind w:left="1080" w:hanging="360"/>
      </w:pPr>
      <w:r>
        <w:t>-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Les mauvaises pratiques présentes dans le code</w:t>
      </w:r>
    </w:p>
    <w:p w14:paraId="07B1DA82" w14:textId="77777777" w:rsidR="00891D82" w:rsidRDefault="00891D82" w:rsidP="00891D82">
      <w:pPr>
        <w:ind w:left="720"/>
      </w:pPr>
      <w:r>
        <w:t xml:space="preserve">L’outil permet également l’interprétation des résultats </w:t>
      </w:r>
      <w:proofErr w:type="spellStart"/>
      <w:r>
        <w:t>PHPUnit</w:t>
      </w:r>
      <w:proofErr w:type="spellEnd"/>
      <w:r>
        <w:t xml:space="preserve">, ainsi que la vérification de duplication de code afin de centraliser les informations sur un unique </w:t>
      </w:r>
      <w:proofErr w:type="spellStart"/>
      <w:r>
        <w:t>dashboard</w:t>
      </w:r>
      <w:proofErr w:type="spellEnd"/>
      <w:r>
        <w:t>.</w:t>
      </w:r>
    </w:p>
    <w:p w14:paraId="4D186559" w14:textId="51D0E565" w:rsidR="00891D82" w:rsidRDefault="00891D82" w:rsidP="006B0A22">
      <w:pPr>
        <w:jc w:val="center"/>
      </w:pPr>
      <w:r>
        <w:rPr>
          <w:noProof/>
        </w:rPr>
        <w:lastRenderedPageBreak/>
        <w:drawing>
          <wp:inline distT="0" distB="0" distL="0" distR="0" wp14:anchorId="07EE9CB5" wp14:editId="3FFFC261">
            <wp:extent cx="5760720" cy="35229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4E30B" w14:textId="77777777" w:rsidR="00891D82" w:rsidRDefault="00891D82" w:rsidP="00891D82">
      <w:r>
        <w:t> </w:t>
      </w:r>
    </w:p>
    <w:p w14:paraId="3CB7036C" w14:textId="1AFF01F3" w:rsidR="00891D82" w:rsidRDefault="00891D82" w:rsidP="00891D82">
      <w:r>
        <w:t>Pour ces deux outils, les standards stipulés dans le CONTRIBUTING.md sont analysés (PSR1-2-4)</w:t>
      </w:r>
    </w:p>
    <w:p w14:paraId="3B7FBDCF" w14:textId="4B392296" w:rsidR="00BB6E0C" w:rsidRDefault="00BB6E0C" w:rsidP="00891D82">
      <w:r>
        <w:t xml:space="preserve">En local sur le projet, installés via Composer, </w:t>
      </w:r>
      <w:proofErr w:type="spellStart"/>
      <w:r>
        <w:t>PHPStan</w:t>
      </w:r>
      <w:proofErr w:type="spellEnd"/>
      <w:r>
        <w:t xml:space="preserve"> et PHP-</w:t>
      </w:r>
      <w:proofErr w:type="spellStart"/>
      <w:r>
        <w:t>cs</w:t>
      </w:r>
      <w:proofErr w:type="spellEnd"/>
      <w:r>
        <w:t>-fixer ont également permis de suivre la qualité du code, et des mauvaises pratiques de syntaxe lors du développement. PHP-</w:t>
      </w:r>
      <w:proofErr w:type="spellStart"/>
      <w:r>
        <w:t>cs</w:t>
      </w:r>
      <w:proofErr w:type="spellEnd"/>
      <w:r>
        <w:t xml:space="preserve">-fixer est inclus dans la CI </w:t>
      </w:r>
      <w:proofErr w:type="spellStart"/>
      <w:r>
        <w:t>github</w:t>
      </w:r>
      <w:proofErr w:type="spellEnd"/>
      <w:r>
        <w:t>, et termine l’action si la sortie est en erreur. Il est donc important de le lancer avant de pusher les modifications sur le repo.</w:t>
      </w:r>
    </w:p>
    <w:p w14:paraId="21BDCD0D" w14:textId="09703F59" w:rsidR="00891D82" w:rsidRDefault="00891D82" w:rsidP="00891D82"/>
    <w:p w14:paraId="323AEF5B" w14:textId="19FD4E7A" w:rsidR="00891D82" w:rsidRDefault="00891D82" w:rsidP="00891D82"/>
    <w:p w14:paraId="25B85EB0" w14:textId="2D153A8A" w:rsidR="00891D82" w:rsidRDefault="00891D82" w:rsidP="00891D82"/>
    <w:p w14:paraId="2273873E" w14:textId="77777777" w:rsidR="00891D82" w:rsidRDefault="00891D82" w:rsidP="00891D82"/>
    <w:p w14:paraId="1B0DDFD9" w14:textId="77777777" w:rsidR="00891D82" w:rsidRDefault="00891D82" w:rsidP="00891D82">
      <w:pPr>
        <w:pStyle w:val="Titre1"/>
        <w:ind w:left="1080" w:hanging="720"/>
      </w:pPr>
      <w:r>
        <w:rPr>
          <w:rFonts w:ascii="Calibri" w:hAnsi="Calibri" w:cs="Calibri"/>
          <w:lang w:eastAsia="fr-FR"/>
        </w:rPr>
        <w:br w:type="page"/>
      </w:r>
      <w:bookmarkStart w:id="1" w:name="_Toc87264759"/>
      <w:r>
        <w:lastRenderedPageBreak/>
        <w:t>II-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 </w:t>
      </w:r>
      <w:r>
        <w:t>Etude de la dette technique</w:t>
      </w:r>
      <w:bookmarkEnd w:id="1"/>
    </w:p>
    <w:p w14:paraId="2FACFC82" w14:textId="0DA9E233" w:rsidR="00BB6E0C" w:rsidRDefault="00BB6E0C" w:rsidP="00BB6E0C">
      <w:pPr>
        <w:rPr>
          <w:lang w:eastAsia="fr-FR"/>
        </w:rPr>
      </w:pPr>
      <w:r>
        <w:rPr>
          <w:lang w:eastAsia="fr-FR"/>
        </w:rPr>
        <w:t>La dette technique représente les bugs présents dans l’application, liés ou non au non-respect des règles établies.</w:t>
      </w:r>
    </w:p>
    <w:p w14:paraId="4ABB66A7" w14:textId="51588965" w:rsidR="00BB6E0C" w:rsidRDefault="00BB6E0C" w:rsidP="00BB6E0C">
      <w:pPr>
        <w:rPr>
          <w:lang w:eastAsia="fr-FR"/>
        </w:rPr>
      </w:pPr>
      <w:r>
        <w:rPr>
          <w:lang w:eastAsia="fr-FR"/>
        </w:rPr>
        <w:t xml:space="preserve">Ici, la dette technique est estimée par l’outil de suivi de qualité </w:t>
      </w:r>
      <w:proofErr w:type="spellStart"/>
      <w:r>
        <w:rPr>
          <w:lang w:eastAsia="fr-FR"/>
        </w:rPr>
        <w:t>SonarQube</w:t>
      </w:r>
      <w:proofErr w:type="spellEnd"/>
      <w:r w:rsidR="006B0A22">
        <w:rPr>
          <w:lang w:eastAsia="fr-FR"/>
        </w:rPr>
        <w:t xml:space="preserve"> à 1h50.</w:t>
      </w:r>
    </w:p>
    <w:p w14:paraId="4C9BBE02" w14:textId="171EDDAC" w:rsidR="006B0A22" w:rsidRDefault="006B0A22" w:rsidP="006B0A22">
      <w:pPr>
        <w:jc w:val="center"/>
        <w:rPr>
          <w:lang w:eastAsia="fr-FR"/>
        </w:rPr>
      </w:pPr>
      <w:r>
        <w:rPr>
          <w:noProof/>
        </w:rPr>
        <w:drawing>
          <wp:inline distT="0" distB="0" distL="0" distR="0" wp14:anchorId="162ACC7B" wp14:editId="33F24252">
            <wp:extent cx="5760720" cy="169227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2C68" w14:textId="142277D1" w:rsidR="00BB6E0C" w:rsidRDefault="006B0A22" w:rsidP="00BB6E0C">
      <w:pPr>
        <w:rPr>
          <w:lang w:eastAsia="fr-FR"/>
        </w:rPr>
      </w:pPr>
      <w:r>
        <w:rPr>
          <w:lang w:eastAsia="fr-FR"/>
        </w:rPr>
        <w:t>Sont donc répertoriées toutes les modifications à effectuer afin de réduire la dette. Par exemple :</w:t>
      </w:r>
    </w:p>
    <w:p w14:paraId="095B4487" w14:textId="0E1BF375" w:rsidR="006B0A22" w:rsidRDefault="00D3053B" w:rsidP="00BB6E0C">
      <w:pPr>
        <w:rPr>
          <w:lang w:eastAsia="fr-FR"/>
        </w:rPr>
      </w:pPr>
      <w:r>
        <w:rPr>
          <w:noProof/>
        </w:rPr>
        <w:drawing>
          <wp:inline distT="0" distB="0" distL="0" distR="0" wp14:anchorId="0502063B" wp14:editId="0074E084">
            <wp:extent cx="5760720" cy="160528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DDA5" w14:textId="59362875" w:rsidR="00BB6E0C" w:rsidRDefault="00D3053B" w:rsidP="00BB6E0C">
      <w:pPr>
        <w:rPr>
          <w:lang w:eastAsia="fr-FR"/>
        </w:rPr>
      </w:pPr>
      <w:r>
        <w:rPr>
          <w:lang w:eastAsia="fr-FR"/>
        </w:rPr>
        <w:t>On peut ici voir qu’une des modifications recommandée par l’outil est de rassembler les deux vérifications en une seule.</w:t>
      </w:r>
    </w:p>
    <w:p w14:paraId="248F064C" w14:textId="1DF14D1B" w:rsidR="00BB6E0C" w:rsidRDefault="00BB6E0C" w:rsidP="00BB6E0C">
      <w:pPr>
        <w:rPr>
          <w:lang w:eastAsia="fr-FR"/>
        </w:rPr>
      </w:pPr>
    </w:p>
    <w:p w14:paraId="4D27C0D3" w14:textId="477ED35F" w:rsidR="00BB6E0C" w:rsidRDefault="00BB6E0C" w:rsidP="00BB6E0C">
      <w:pPr>
        <w:rPr>
          <w:lang w:eastAsia="fr-FR"/>
        </w:rPr>
      </w:pPr>
      <w:r>
        <w:rPr>
          <w:lang w:eastAsia="fr-FR"/>
        </w:rPr>
        <w:t xml:space="preserve">La réduction de la dette technique de l’application </w:t>
      </w:r>
      <w:r w:rsidR="006B0A22">
        <w:rPr>
          <w:lang w:eastAsia="fr-FR"/>
        </w:rPr>
        <w:t xml:space="preserve">d’une manière générale </w:t>
      </w:r>
      <w:r>
        <w:rPr>
          <w:lang w:eastAsia="fr-FR"/>
        </w:rPr>
        <w:t>passe par :</w:t>
      </w:r>
    </w:p>
    <w:p w14:paraId="3F63D2D6" w14:textId="61FE8731" w:rsidR="00BB6E0C" w:rsidRDefault="00BB6E0C" w:rsidP="00BB6E0C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L’établissement de règles de codage (ici, respect des PSR1-2-4 et best practices pour Symfony 5.3)</w:t>
      </w:r>
    </w:p>
    <w:p w14:paraId="7C9545B4" w14:textId="01BC062C" w:rsidR="00BB6E0C" w:rsidRDefault="00BB6E0C" w:rsidP="00BB6E0C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Le suivi de la qualité du code au fur et à mesure du projet</w:t>
      </w:r>
    </w:p>
    <w:p w14:paraId="2CBC445D" w14:textId="6B64C7A2" w:rsidR="00BB6E0C" w:rsidRDefault="00BB6E0C" w:rsidP="006B0A22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Le développement de tests unitaires et fonctionnels afin de valider chaque modification de code</w:t>
      </w:r>
    </w:p>
    <w:p w14:paraId="1EEB2EC4" w14:textId="77236ABA" w:rsidR="00BB6E0C" w:rsidRDefault="00BB6E0C" w:rsidP="00BB6E0C">
      <w:pPr>
        <w:rPr>
          <w:lang w:eastAsia="fr-FR"/>
        </w:rPr>
      </w:pPr>
    </w:p>
    <w:p w14:paraId="24C26260" w14:textId="5044B9A4" w:rsidR="00BB6E0C" w:rsidRDefault="00BB6E0C" w:rsidP="00BB6E0C">
      <w:pPr>
        <w:rPr>
          <w:lang w:eastAsia="fr-FR"/>
        </w:rPr>
      </w:pPr>
    </w:p>
    <w:p w14:paraId="7792AE54" w14:textId="5136BFFB" w:rsidR="00BB6E0C" w:rsidRDefault="00BB6E0C" w:rsidP="00BB6E0C">
      <w:pPr>
        <w:rPr>
          <w:lang w:eastAsia="fr-FR"/>
        </w:rPr>
      </w:pPr>
    </w:p>
    <w:p w14:paraId="3C6FD694" w14:textId="77777777" w:rsidR="00BB6E0C" w:rsidRPr="00BB6E0C" w:rsidRDefault="00BB6E0C" w:rsidP="00BB6E0C">
      <w:pPr>
        <w:rPr>
          <w:lang w:eastAsia="fr-FR"/>
        </w:rPr>
      </w:pPr>
    </w:p>
    <w:p w14:paraId="7E514366" w14:textId="69F0B2D3" w:rsidR="00891D82" w:rsidRDefault="00891D82" w:rsidP="00891D82">
      <w:pPr>
        <w:pStyle w:val="Titre1"/>
        <w:ind w:left="1080" w:hanging="720"/>
      </w:pPr>
      <w:r>
        <w:rPr>
          <w:rFonts w:ascii="Calibri" w:hAnsi="Calibri" w:cs="Calibri"/>
          <w:lang w:eastAsia="fr-FR"/>
        </w:rPr>
        <w:br w:type="page"/>
      </w:r>
      <w:bookmarkStart w:id="2" w:name="_Toc87264760"/>
      <w:r>
        <w:lastRenderedPageBreak/>
        <w:t>III-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 </w:t>
      </w:r>
      <w:r>
        <w:t>Suivi des performances</w:t>
      </w:r>
      <w:bookmarkEnd w:id="2"/>
    </w:p>
    <w:p w14:paraId="7DDDCD20" w14:textId="30F01710" w:rsidR="00C31D07" w:rsidRPr="00891D82" w:rsidRDefault="00C31D07" w:rsidP="00891D82"/>
    <w:sectPr w:rsidR="00C31D07" w:rsidRPr="00891D82" w:rsidSect="00C31D07">
      <w:footerReference w:type="defaul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EB893" w14:textId="77777777" w:rsidR="00C31D07" w:rsidRDefault="00C31D07" w:rsidP="00C31D07">
      <w:pPr>
        <w:spacing w:after="0" w:line="240" w:lineRule="auto"/>
      </w:pPr>
      <w:r>
        <w:separator/>
      </w:r>
    </w:p>
  </w:endnote>
  <w:endnote w:type="continuationSeparator" w:id="0">
    <w:p w14:paraId="0A947D93" w14:textId="77777777" w:rsidR="00C31D07" w:rsidRDefault="00C31D07" w:rsidP="00C31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AD98E" w14:textId="77777777" w:rsidR="00C31D07" w:rsidRDefault="00C31D07">
    <w:pPr>
      <w:pStyle w:val="Pieddepage"/>
      <w:jc w:val="right"/>
    </w:pPr>
    <w:r>
      <w:rPr>
        <w:color w:val="4472C4" w:themeColor="accent1"/>
        <w:sz w:val="20"/>
        <w:szCs w:val="20"/>
      </w:rPr>
      <w:t xml:space="preserve">p.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044369D6" w14:textId="77777777" w:rsidR="00C31D07" w:rsidRDefault="00C31D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3F28D" w14:textId="77777777" w:rsidR="00C31D07" w:rsidRDefault="00C31D07">
    <w:pPr>
      <w:pStyle w:val="Pieddepage"/>
      <w:jc w:val="right"/>
    </w:pPr>
    <w:r>
      <w:rPr>
        <w:color w:val="4472C4" w:themeColor="accent1"/>
        <w:sz w:val="20"/>
        <w:szCs w:val="20"/>
      </w:rPr>
      <w:t xml:space="preserve">p.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004662F0" w14:textId="77777777" w:rsidR="00C31D07" w:rsidRDefault="00C31D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DB76C" w14:textId="77777777" w:rsidR="00C31D07" w:rsidRDefault="00C31D07" w:rsidP="00C31D07">
      <w:pPr>
        <w:spacing w:after="0" w:line="240" w:lineRule="auto"/>
      </w:pPr>
      <w:r>
        <w:separator/>
      </w:r>
    </w:p>
  </w:footnote>
  <w:footnote w:type="continuationSeparator" w:id="0">
    <w:p w14:paraId="489D6716" w14:textId="77777777" w:rsidR="00C31D07" w:rsidRDefault="00C31D07" w:rsidP="00C31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A3580"/>
    <w:multiLevelType w:val="hybridMultilevel"/>
    <w:tmpl w:val="3B30F928"/>
    <w:lvl w:ilvl="0" w:tplc="AD7013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93E80"/>
    <w:multiLevelType w:val="hybridMultilevel"/>
    <w:tmpl w:val="1C8EC5EC"/>
    <w:lvl w:ilvl="0" w:tplc="0D3ABA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F93257"/>
    <w:multiLevelType w:val="hybridMultilevel"/>
    <w:tmpl w:val="0A50F5B0"/>
    <w:lvl w:ilvl="0" w:tplc="F01C162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17093"/>
    <w:multiLevelType w:val="hybridMultilevel"/>
    <w:tmpl w:val="5FF81D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05918"/>
    <w:multiLevelType w:val="hybridMultilevel"/>
    <w:tmpl w:val="FB2A0BA4"/>
    <w:lvl w:ilvl="0" w:tplc="34CAB7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E5"/>
    <w:rsid w:val="00144B22"/>
    <w:rsid w:val="006B0A22"/>
    <w:rsid w:val="00845505"/>
    <w:rsid w:val="00891D82"/>
    <w:rsid w:val="009D6B72"/>
    <w:rsid w:val="00B73CE5"/>
    <w:rsid w:val="00BB6E0C"/>
    <w:rsid w:val="00C31D07"/>
    <w:rsid w:val="00D3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43132"/>
  <w15:chartTrackingRefBased/>
  <w15:docId w15:val="{7B8C7B9A-A3BE-4813-8F00-F5E98D65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1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1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73CE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73CE5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31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31D0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31D0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31D0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31D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1D07"/>
  </w:style>
  <w:style w:type="paragraph" w:styleId="Pieddepage">
    <w:name w:val="footer"/>
    <w:basedOn w:val="Normal"/>
    <w:link w:val="PieddepageCar"/>
    <w:uiPriority w:val="99"/>
    <w:unhideWhenUsed/>
    <w:rsid w:val="00C31D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1D07"/>
  </w:style>
  <w:style w:type="paragraph" w:styleId="Paragraphedeliste">
    <w:name w:val="List Paragraph"/>
    <w:basedOn w:val="Normal"/>
    <w:uiPriority w:val="34"/>
    <w:qFormat/>
    <w:rsid w:val="00C31D0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31D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45505"/>
    <w:pPr>
      <w:spacing w:after="100"/>
      <w:ind w:left="220"/>
    </w:pPr>
  </w:style>
  <w:style w:type="character" w:styleId="Mentionnonrsolue">
    <w:name w:val="Unresolved Mention"/>
    <w:basedOn w:val="Policepardfaut"/>
    <w:uiPriority w:val="99"/>
    <w:semiHidden/>
    <w:unhideWhenUsed/>
    <w:rsid w:val="00144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1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onarqube.org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3A013FDEE65842A1A998D5FDF8EADB" ma:contentTypeVersion="11" ma:contentTypeDescription="Crée un document." ma:contentTypeScope="" ma:versionID="90463d306032703c9b07d94e0937dd91">
  <xsd:schema xmlns:xsd="http://www.w3.org/2001/XMLSchema" xmlns:xs="http://www.w3.org/2001/XMLSchema" xmlns:p="http://schemas.microsoft.com/office/2006/metadata/properties" xmlns:ns3="94ff7ccd-f2a6-4e0c-aaad-404af0c1f476" xmlns:ns4="01a03f76-9b3d-4b87-b3ba-9e7f375bcd5b" targetNamespace="http://schemas.microsoft.com/office/2006/metadata/properties" ma:root="true" ma:fieldsID="507145bba41b39fb19f05a5df708dc98" ns3:_="" ns4:_="">
    <xsd:import namespace="94ff7ccd-f2a6-4e0c-aaad-404af0c1f476"/>
    <xsd:import namespace="01a03f76-9b3d-4b87-b3ba-9e7f375bcd5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f7ccd-f2a6-4e0c-aaad-404af0c1f47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a03f76-9b3d-4b87-b3ba-9e7f375bcd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7BFD13-5D3E-4FDD-B5ED-6BD6387F25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056475-87DC-4999-A474-4E66B9E58B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ff7ccd-f2a6-4e0c-aaad-404af0c1f476"/>
    <ds:schemaRef ds:uri="01a03f76-9b3d-4b87-b3ba-9e7f375bc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A015EE-3F03-4F7F-90C1-4CA6D5B92B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28CD8C-D433-45BA-A129-D7C9D58DBBD1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purl.org/dc/dcmitype/"/>
    <ds:schemaRef ds:uri="94ff7ccd-f2a6-4e0c-aaad-404af0c1f476"/>
    <ds:schemaRef ds:uri="http://schemas.microsoft.com/office/infopath/2007/PartnerControls"/>
    <ds:schemaRef ds:uri="01a03f76-9b3d-4b87-b3ba-9e7f375bcd5b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Florian  LEBOUL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qualité et performance</dc:title>
  <dc:subject>Todo and Co</dc:subject>
  <dc:creator>LEBOUL Florian</dc:creator>
  <cp:keywords/>
  <dc:description/>
  <cp:lastModifiedBy>LEBOUL Florian</cp:lastModifiedBy>
  <cp:revision>2</cp:revision>
  <dcterms:created xsi:type="dcterms:W3CDTF">2021-11-12T07:28:00Z</dcterms:created>
  <dcterms:modified xsi:type="dcterms:W3CDTF">2021-11-12T07:28:00Z</dcterms:modified>
  <cp:category>Openclassroom Projet 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0x010100FE3A013FDEE65842A1A998D5FDF8EADB</vt:lpwstr>
  </property>
</Properties>
</file>