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keepNext/>
      </w:pPr>
      <w:r>
        <w:rPr>
          <w:rFonts w:ascii="Noto Sans SC" w:hAnsi="Noto Sans SC" w:eastAsia="Noto Sans SC"/>
        </w:rPr>
        <w:t xml:space="preserve">AgentShelf </w:t>
      </w:r>
      <w:r>
        <w:rPr>
          <w:rFonts w:hint="eastAsia" w:ascii="Noto Sans SC" w:hAnsi="Noto Sans SC" w:eastAsia="Noto Sans SC"/>
        </w:rPr>
        <w:t xml:space="preserve">参赛提交材料使用说明</w:t>
      </w:r>
    </w:p>
    <w:p>
      <w:pPr>
        <w:pStyle w:val="Subtitle"/>
        <w:keepNext/>
      </w:pPr>
      <w:r>
        <w:rPr>
          <w:rFonts w:hint="eastAsia" w:ascii="Noto Sans SC" w:hAnsi="Noto Sans SC" w:eastAsia="Noto Sans SC"/>
        </w:rPr>
        <w:t xml:space="preserve">面向</w:t>
      </w:r>
      <w:r>
        <w:rPr>
          <w:rFonts w:ascii="Noto Sans SC" w:hAnsi="Noto Sans SC" w:eastAsia="Noto Sans SC"/>
        </w:rPr>
        <w:t xml:space="preserve"> AI </w:t>
      </w:r>
      <w:r>
        <w:rPr>
          <w:rFonts w:hint="eastAsia" w:ascii="Noto Sans SC" w:hAnsi="Noto Sans SC" w:eastAsia="Noto Sans SC"/>
        </w:rPr>
        <w:t xml:space="preserve">购物</w:t>
      </w:r>
      <w:r>
        <w:rPr>
          <w:rFonts w:ascii="Noto Sans SC" w:hAnsi="Noto Sans SC" w:eastAsia="Noto Sans SC"/>
        </w:rPr>
        <w:t xml:space="preserve"> Agent </w:t>
      </w:r>
      <w:r>
        <w:rPr>
          <w:rFonts w:hint="eastAsia" w:ascii="Noto Sans SC" w:hAnsi="Noto Sans SC" w:eastAsia="Noto Sans SC"/>
        </w:rPr>
        <w:t xml:space="preserve">的跨境商品安全上新平台</w:t>
      </w:r>
    </w:p>
    <w:p>
      <w:pPr>
        <w:pStyle w:val="Date"/>
      </w:pPr>
      <w:r>
        <w:rPr>
          <w:rFonts w:ascii="Noto Sans SC" w:hAnsi="Noto Sans SC" w:eastAsia="Noto Sans SC"/>
        </w:rPr>
        <w:t xml:space="preserve">2026 </w:t>
      </w:r>
      <w:r>
        <w:rPr>
          <w:rFonts w:hint="eastAsia" w:ascii="Noto Sans SC" w:hAnsi="Noto Sans SC" w:eastAsia="Noto Sans SC"/>
        </w:rPr>
        <w:t xml:space="preserve">年</w:t>
      </w:r>
      <w:r>
        <w:rPr>
          <w:rFonts w:ascii="Noto Sans SC" w:hAnsi="Noto Sans SC" w:eastAsia="Noto Sans SC"/>
        </w:rPr>
        <w:t xml:space="preserve"> 8 </w:t>
      </w:r>
      <w:r>
        <w:rPr>
          <w:rFonts w:hint="eastAsia" w:ascii="Noto Sans SC" w:hAnsi="Noto Sans SC" w:eastAsia="Noto Sans SC"/>
        </w:rPr>
        <w:t xml:space="preserve">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本材料包已按比赛官方初赛要求整理，对外提交版均提供</w:t>
      </w:r>
      <w:r>
        <w:rPr>
          <w:rFonts w:ascii="Noto Sans SC" w:hAnsi="Noto Sans SC" w:eastAsia="Noto Sans SC"/>
        </w:rPr>
        <w:t xml:space="preserve"> Word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PDF </w:t>
      </w:r>
      <w:r>
        <w:rPr>
          <w:rFonts w:hint="eastAsia" w:ascii="Noto Sans SC" w:hAnsi="Noto Sans SC" w:eastAsia="Noto Sans SC"/>
        </w:rPr>
        <w:t xml:space="preserve">格式。评委建议直接阅读合并版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PDF；团队需要补充信息或调整文案时，使用</w:t>
      </w:r>
      <w:r>
        <w:rPr>
          <w:rFonts w:ascii="Noto Sans SC" w:hAnsi="Noto Sans SC" w:eastAsia="Noto Sans SC"/>
        </w:rPr>
        <w:t xml:space="preserve"> Word </w:t>
      </w:r>
      <w:r>
        <w:rPr>
          <w:rFonts w:hint="eastAsia" w:ascii="Noto Sans SC" w:hAnsi="Noto Sans SC" w:eastAsia="Noto Sans SC"/>
        </w:rPr>
        <w:t xml:space="preserve">版。</w:t>
      </w:r>
    </w:p>
    <w:p>
      <w:pPr>
        <w:pStyle w:val="BodyText"/>
      </w:pPr>
      <w:r>
        <w:rPr>
          <w:rFonts w:hint="eastAsia" w:ascii="Noto Sans SC" w:hAnsi="Noto Sans SC" w:eastAsia="Noto Sans SC"/>
        </w:rPr>
        <w:t xml:space="preserve">所有已实现能力和后续计划均已分开表述，避免把演示原型误写成已上线的生产系统。Markdown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文件仅用于项目内部维护，不作为评委阅读或正式提交材料。</w:t>
      </w:r>
    </w:p>
    <w:bookmarkStart w:id="22" w:name="格式与位置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格式与位置</w:t>
      </w:r>
    </w:p>
    <w:bookmarkStart w:id="19" w:name="word-版"/>
    <w:p>
      <w:pPr>
        <w:pStyle w:val="Heading3"/>
        <w:keepNext/>
      </w:pPr>
      <w:r>
        <w:rPr>
          <w:rFonts w:ascii="Noto Sans SC" w:hAnsi="Noto Sans SC" w:eastAsia="Noto Sans SC"/>
        </w:rPr>
        <w:t xml:space="preserve">Word </w:t>
      </w:r>
      <w:r>
        <w:rPr>
          <w:rFonts w:hint="eastAsia" w:ascii="Noto Sans SC" w:hAnsi="Noto Sans SC" w:eastAsia="Noto Sans SC"/>
        </w:rPr>
        <w:t xml:space="preserve">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保存在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submission/final/word/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目录中，用于补充团队信息、修改文案和准备答辩。</w:t>
      </w:r>
    </w:p>
    <w:bookmarkEnd w:id="19"/>
    <w:bookmarkStart w:id="20" w:name="pdf-版"/>
    <w:p>
      <w:pPr>
        <w:pStyle w:val="Heading3"/>
        <w:keepNext/>
      </w:pPr>
      <w:r>
        <w:rPr>
          <w:rFonts w:ascii="Noto Sans SC" w:hAnsi="Noto Sans SC" w:eastAsia="Noto Sans SC"/>
        </w:rPr>
        <w:t xml:space="preserve">PDF </w:t>
      </w:r>
      <w:r>
        <w:rPr>
          <w:rFonts w:hint="eastAsia" w:ascii="Noto Sans SC" w:hAnsi="Noto Sans SC" w:eastAsia="Noto Sans SC"/>
        </w:rPr>
        <w:t xml:space="preserve">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保存在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ascii="Noto Sans SC" w:hAnsi="Noto Sans SC" w:eastAsia="Noto Sans SC"/>
        </w:rPr>
        <w:t xml:space="preserve">submission/final/pdf/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目录中，用于直接阅读、发送评审和上传比赛系统。</w:t>
      </w:r>
    </w:p>
    <w:bookmarkEnd w:id="20"/>
    <w:bookmarkStart w:id="21" w:name="合并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合并版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合并版文件名为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AgentShelf_完整参赛提交材料.docx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和</w:t>
      </w:r>
      <w:r>
        <w:rPr>
          <w:rFonts w:ascii="Noto Sans SC" w:hAnsi="Noto Sans SC" w:eastAsia="Noto Sans SC"/>
        </w:rPr>
        <w:t xml:space="preserve"> </w:t>
      </w:r>
      <w:r>
        <w:rPr>
          <w:rStyle w:val="VerbatimChar"/>
          <w:rFonts w:hint="eastAsia" w:ascii="Noto Sans SC" w:hAnsi="Noto Sans SC" w:eastAsia="Noto Sans SC"/>
        </w:rPr>
        <w:t xml:space="preserve">AgentShelf_完整参赛提交材料.pdf</w:t>
      </w:r>
      <w:r>
        <w:rPr>
          <w:rFonts w:hint="eastAsia" w:ascii="Noto Sans SC" w:hAnsi="Noto Sans SC" w:eastAsia="Noto Sans SC"/>
        </w:rPr>
        <w:t xml:space="preserve">。这两份文件包含封面、目录、官方要求对照、创意方案、技术方案、业务价值、系统架构、测试验证、演示答辩和提交检查内容。</w:t>
      </w:r>
    </w:p>
    <w:bookmarkEnd w:id="21"/>
    <w:bookmarkEnd w:id="22"/>
    <w:bookmarkStart w:id="29" w:name="推荐使用顺序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推荐使用顺序</w:t>
      </w:r>
    </w:p>
    <w:bookmarkStart w:id="23" w:name="第一步通读整体方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第一步：通读整体方案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先阅读合并版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PDF，快速了解整体方案和当前完成度。</w:t>
      </w:r>
    </w:p>
    <w:bookmarkEnd w:id="23"/>
    <w:bookmarkStart w:id="24" w:name="第二步补齐真实信息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第二步：补齐真实信息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打开《待填写信息》Word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版，补齐团队信息、代码仓库、公开演示地址和视频链接。</w:t>
      </w:r>
    </w:p>
    <w:bookmarkEnd w:id="24"/>
    <w:bookmarkStart w:id="25" w:name="第三步填写官方表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第三步：填写官方表单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使用《创意初赛提交文案》中的短版文案填写官方表单。</w:t>
      </w:r>
    </w:p>
    <w:bookmarkEnd w:id="25"/>
    <w:bookmarkStart w:id="26" w:name="第四步整理技术附件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第四步：整理技术附件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将《技术方案报告》《业务价值与产品说明》和《系统架构与数据流程》PDF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版作为技术附件。</w:t>
      </w:r>
    </w:p>
    <w:bookmarkEnd w:id="26"/>
    <w:bookmarkStart w:id="27" w:name="第五步录制演示视频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第五步：录制演示视频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按《演示视频与答辩脚本》录制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分钟演示视频，并准备现场答辩。</w:t>
      </w:r>
    </w:p>
    <w:bookmarkEnd w:id="27"/>
    <w:bookmarkStart w:id="28" w:name="第六步完成提交检查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第六步：完成提交检查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提交前按《提交检查清单》逐项核对。</w:t>
      </w:r>
    </w:p>
    <w:bookmarkEnd w:id="28"/>
    <w:bookmarkEnd w:id="29"/>
    <w:bookmarkStart w:id="39" w:name="文件清单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文件清单</w:t>
      </w:r>
    </w:p>
    <w:bookmarkStart w:id="30" w:name="官方要求对照与迭代结论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官方要求对照与迭代结论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说明官方要求、当前状态、待补内容和本轮改进。</w:t>
      </w:r>
    </w:p>
    <w:bookmarkEnd w:id="30"/>
    <w:bookmarkStart w:id="31" w:name="创意初赛提交文案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创意初赛提交文案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提供可直接填入官方表单的短版文案。</w:t>
      </w:r>
    </w:p>
    <w:bookmarkEnd w:id="31"/>
    <w:bookmarkStart w:id="32" w:name="技术方案报告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技术方案报告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说明技术路线、模块设计、安全边界和落地计划。</w:t>
      </w:r>
    </w:p>
    <w:bookmarkEnd w:id="32"/>
    <w:bookmarkStart w:id="33" w:name="业务价值与产品说明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业务价值与产品说明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说明目标用户、核心痛点、业务价值、评估指标和商业化方向。</w:t>
      </w:r>
    </w:p>
    <w:bookmarkEnd w:id="33"/>
    <w:bookmarkStart w:id="34" w:name="系统架构与数据流程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系统架构与数据流程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说明架构图、工作流、数据对象和接口。</w:t>
      </w:r>
    </w:p>
    <w:bookmarkEnd w:id="34"/>
    <w:bookmarkStart w:id="35" w:name="测试验证报告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测试验证报告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说明单元测试、端到端测试、场景覆盖和已知限制。</w:t>
      </w:r>
    </w:p>
    <w:bookmarkEnd w:id="35"/>
    <w:bookmarkStart w:id="36" w:name="演示视频与答辩脚本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演示视频与答辩脚本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提供</w:t>
      </w:r>
      <w:r>
        <w:rPr>
          <w:rFonts w:ascii="Noto Sans SC" w:hAnsi="Noto Sans SC" w:eastAsia="Noto Sans SC"/>
        </w:rPr>
        <w:t xml:space="preserve"> 5 </w:t>
      </w:r>
      <w:r>
        <w:rPr>
          <w:rFonts w:hint="eastAsia" w:ascii="Noto Sans SC" w:hAnsi="Noto Sans SC" w:eastAsia="Noto Sans SC"/>
        </w:rPr>
        <w:t xml:space="preserve">分钟视频脚本、答辩结构和常见问答。</w:t>
      </w:r>
    </w:p>
    <w:bookmarkEnd w:id="36"/>
    <w:bookmarkStart w:id="37" w:name="提交检查清单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提交检查清单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用于提交前逐项核对。</w:t>
      </w:r>
    </w:p>
    <w:bookmarkEnd w:id="37"/>
    <w:bookmarkStart w:id="38" w:name="待填写信息"/>
    <w:p>
      <w:pPr>
        <w:pStyle w:val="Heading3"/>
        <w:keepNext/>
      </w:pPr>
      <w:r>
        <w:rPr>
          <w:rFonts w:hint="eastAsia" w:ascii="Noto Sans SC" w:hAnsi="Noto Sans SC" w:eastAsia="Noto Sans SC"/>
        </w:rPr>
        <w:t xml:space="preserve">待填写信息</w:t>
      </w:r>
    </w:p>
    <w:p>
      <w:pPr>
        <w:pStyle w:val="FirstParagraph"/>
      </w:pPr>
      <w:r>
        <w:rPr>
          <w:rFonts w:hint="eastAsia" w:ascii="Noto Sans SC" w:hAnsi="Noto Sans SC" w:eastAsia="Noto Sans SC"/>
        </w:rPr>
        <w:t xml:space="preserve">列出需由参赛团队补充的真实信息。</w:t>
      </w:r>
    </w:p>
    <w:bookmarkEnd w:id="38"/>
    <w:bookmarkEnd w:id="39"/>
    <w:bookmarkStart w:id="40" w:name="当前材料边界"/>
    <w:p>
      <w:pPr>
        <w:pStyle w:val="Heading2"/>
        <w:keepNext/>
      </w:pPr>
      <w:r>
        <w:rPr>
          <w:rFonts w:hint="eastAsia" w:ascii="Noto Sans SC" w:hAnsi="Noto Sans SC" w:eastAsia="Noto Sans SC"/>
        </w:rPr>
        <w:t xml:space="preserve">当前材料边界</w:t>
      </w:r>
    </w:p>
    <w:p>
      <w:pPr>
        <w:pStyle w:val="FirstParagraph"/>
      </w:pPr>
      <w:r>
        <w:rPr>
          <w:rFonts w:hint="eastAsia" w:ascii="Noto Sans SC" w:hAnsi="Noto Sans SC" w:eastAsia="Noto Sans SC"/>
          <w:b/>
          <w:bCs/>
        </w:rPr>
        <w:t xml:space="preserve">已完成：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可运行原型、核心业务闭环、前后端代码、固定规则、Qwen</w:t>
      </w:r>
      <w:r>
        <w:rPr>
          <w:rFonts w:ascii="Noto Sans SC" w:hAnsi="Noto Sans SC" w:eastAsia="Noto Sans SC"/>
        </w:rPr>
        <w:t xml:space="preserve"> API、30 </w:t>
      </w:r>
      <w:r>
        <w:rPr>
          <w:rFonts w:hint="eastAsia" w:ascii="Noto Sans SC" w:hAnsi="Noto Sans SC" w:eastAsia="Noto Sans SC"/>
        </w:rPr>
        <w:t xml:space="preserve">个测试任务、12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个受控故障、5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个商业沙箱</w:t>
      </w:r>
      <w:r>
        <w:rPr>
          <w:rFonts w:ascii="Noto Sans SC" w:hAnsi="Noto Sans SC" w:eastAsia="Noto Sans SC"/>
        </w:rPr>
        <w:t xml:space="preserve"> API、UCP/ACP/MCP </w:t>
      </w:r>
      <w:r>
        <w:rPr>
          <w:rFonts w:hint="eastAsia" w:ascii="Noto Sans SC" w:hAnsi="Noto Sans SC" w:eastAsia="Noto Sans SC"/>
        </w:rPr>
        <w:t xml:space="preserve">能力映射、测试与技术材料。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尚未完成：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真实平台商家账号接入、真实支付、生产级登录与多租户、长期数据库、公开部署地址、正式演示视频、真实业务</w:t>
      </w:r>
      <w:r>
        <w:rPr>
          <w:rFonts w:ascii="Noto Sans SC" w:hAnsi="Noto Sans SC" w:eastAsia="Noto Sans SC"/>
        </w:rPr>
        <w:t xml:space="preserve"> ROI </w:t>
      </w:r>
      <w:r>
        <w:rPr>
          <w:rFonts w:hint="eastAsia" w:ascii="Noto Sans SC" w:hAnsi="Noto Sans SC" w:eastAsia="Noto Sans SC"/>
        </w:rPr>
        <w:t xml:space="preserve">验证。</w:t>
      </w:r>
    </w:p>
    <w:p>
      <w:pPr>
        <w:pStyle w:val="BodyText"/>
      </w:pPr>
      <w:r>
        <w:rPr>
          <w:rFonts w:hint="eastAsia" w:ascii="Noto Sans SC" w:hAnsi="Noto Sans SC" w:eastAsia="Noto Sans SC"/>
          <w:b/>
          <w:bCs/>
        </w:rPr>
        <w:t xml:space="preserve">提交原则：</w:t>
      </w:r>
      <w:r>
        <w:rPr>
          <w:rFonts w:ascii="Noto Sans SC" w:hAnsi="Noto Sans SC" w:eastAsia="Noto Sans SC"/>
        </w:rPr>
        <w:t xml:space="preserve"> </w:t>
      </w:r>
      <w:r>
        <w:rPr>
          <w:rFonts w:hint="eastAsia" w:ascii="Noto Sans SC" w:hAnsi="Noto Sans SC" w:eastAsia="Noto Sans SC"/>
        </w:rPr>
        <w:t xml:space="preserve">正式提交时，应将未完成内容明确写为后续计划，不应写成已上线能力。</w:t>
      </w:r>
    </w:p>
    <w:bookmarkEnd w:id="40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AgentShelf 参赛材料  ·  </w:t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/>
        <w:color w:val="666666"/>
        <w:sz w:val="17"/>
      </w:rPr>
      <w:t>AgentShelf｜AI 智能上新参赛材料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64" w:lineRule="auto"/>
    </w:pPr>
    <w:rPr>
      <w:rFonts w:ascii="Noto Sans SC" w:eastAsia="Noto Sans SC" w:hAnsi="Noto Sans SC"/>
      <w:color w:val="111111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00" w:before="1080" w:line="240" w:lineRule="auto"/>
      <w:contextualSpacing/>
      <w:jc w:val="center"/>
    </w:pPr>
    <w:rPr>
      <w:rFonts w:ascii="Noto Sans SC" w:asciiTheme="majorHAnsi" w:cstheme="majorBidi" w:eastAsia="Noto Sans SC" w:eastAsiaTheme="majorEastAsia" w:hAnsi="Noto Sans SC" w:hAnsiTheme="majorHAnsi"/>
      <w:b/>
      <w:color w:val="11111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  <w:jc w:val="center"/>
    </w:pPr>
    <w:rPr>
      <w:rFonts w:ascii="Noto Sans SC" w:asciiTheme="majorHAnsi" w:cstheme="majorBidi" w:eastAsia="Noto Sans SC" w:eastAsiaTheme="majorEastAsia" w:hAnsi="Noto Sans SC" w:hAnsiTheme="majorHAnsi"/>
      <w:i/>
      <w:iCs/>
      <w:color w:val="666666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hanging="360" w:left="720"/>
      <w:contextualSpacing/>
    </w:pPr>
    <w:rPr>
      <w:rFonts w:ascii="Noto Sans SC" w:eastAsia="Noto Sans SC" w:hAnsi="Noto Sans SC"/>
      <w:color w:val="111111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before="80" w:line="240" w:lineRule="auto"/>
    </w:pPr>
    <w:rPr>
      <w:rFonts w:ascii="Noto Sans SC" w:eastAsia="Noto Sans SC" w:hAnsi="Noto Sans SC"/>
      <w:b/>
      <w:bCs/>
      <w:color w:val="666666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rPr>
      <w:rFonts w:ascii="Noto Sans SC" w:eastAsia="Noto Sans SC" w:hAnsi="Noto Sans SC"/>
      <w:color w:val="111111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参赛材料使用说明</dc:title>
  <dc:creator>AgentShelf 参赛团队</dc:creator>
  <cp:keywords>AI 智能上新, Agent, Product Passport, Listing, 红队测试</cp:keywords>
  <dcterms:created xsi:type="dcterms:W3CDTF">2026-08-22T06:19:08Z</dcterms:created>
  <dcterms:modified xsi:type="dcterms:W3CDTF">2026-08-22T06:19:08Z</dcterms:modified>
  <dc:subject>AgentShelf AI 智能上新参赛材料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8 月</vt:lpwstr>
  </property>
  <property fmtid="{D5CDD505-2E9C-101B-9397-08002B2CF9AE}" pid="3" name="subtitle">
    <vt:lpwstr>面向 AI 购物 Agent 的跨境商品安全上新平台</vt:lpwstr>
  </property>
</Properties>
</file>