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测试验证报告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19" w:name="X743020fa4d6ce59e07f4824e618db8e1e56cd9e"/>
    <w:p>
      <w:pPr>
        <w:pStyle w:val="Heading2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验证目标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本报告用于证明</w:t>
      </w:r>
      <w:r>
        <w:rPr>
          <w:rFonts w:ascii="Noto Sans SC" w:hAnsi="Noto Sans SC" w:eastAsia="Noto Sans SC"/>
        </w:rPr>
        <w:t xml:space="preserve"> AgentShelf </w:t>
      </w:r>
      <w:r>
        <w:rPr>
          <w:rFonts w:hint="eastAsia" w:ascii="Noto Sans SC" w:hAnsi="Noto Sans SC" w:eastAsia="Noto Sans SC"/>
        </w:rPr>
        <w:t xml:space="preserve">是可运行原型，而不是静态设计稿。验证范围包括商品资料整理、Listing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生成、平台规则、任务库、故障库、红队运行、修复复测、商业沙箱、协议适配、文件导出和响应式界面。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最终核验日期：2026-08-19。</w:t>
      </w:r>
    </w:p>
    <w:bookmarkEnd w:id="19"/>
    <w:bookmarkStart w:id="25" w:name="X6ab06d7e6959bd4dd6d9d49d630ed4f9684706e"/>
    <w:p>
      <w:pPr>
        <w:pStyle w:val="Heading2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自动测试结果</w:t>
      </w:r>
    </w:p>
    <w:bookmarkStart w:id="20" w:name="代码规范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代码规范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命令：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npm run lint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通过</w:t>
      </w:r>
    </w:p>
    <w:bookmarkEnd w:id="20"/>
    <w:bookmarkStart w:id="21" w:name="单元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单元测试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命令：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npm test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个测试通过</w:t>
      </w:r>
    </w:p>
    <w:bookmarkEnd w:id="21"/>
    <w:bookmarkStart w:id="22" w:name="生产构建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生产构建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命令：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npm run build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通过</w:t>
      </w:r>
    </w:p>
    <w:bookmarkEnd w:id="22"/>
    <w:bookmarkStart w:id="23" w:name="浏览器端到端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浏览器端到端测试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命令：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npm run test:e2e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9 </w:t>
      </w:r>
      <w:r>
        <w:rPr>
          <w:rFonts w:hint="eastAsia" w:ascii="Noto Sans SC" w:hAnsi="Noto Sans SC" w:eastAsia="Noto Sans SC"/>
        </w:rPr>
        <w:t xml:space="preserve">个场景通过</w:t>
      </w:r>
    </w:p>
    <w:bookmarkEnd w:id="23"/>
    <w:bookmarkStart w:id="24" w:name="响应式布局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响应式布局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命令：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Playwright 1440px、1024px、390px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7 </w:t>
      </w:r>
      <w:r>
        <w:rPr>
          <w:rFonts w:hint="eastAsia" w:ascii="Noto Sans SC" w:hAnsi="Noto Sans SC" w:eastAsia="Noto Sans SC"/>
        </w:rPr>
        <w:t xml:space="preserve">个工作区无横向溢出、无面板覆盖</w:t>
      </w:r>
    </w:p>
    <w:bookmarkEnd w:id="24"/>
    <w:bookmarkEnd w:id="25"/>
    <w:bookmarkStart w:id="26" w:name="Xf45c501fa6c79d49138930a6a6084c0f7f6d643"/>
    <w:p>
      <w:pPr>
        <w:pStyle w:val="Heading2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单元测试覆盖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Vitest </w:t>
      </w:r>
      <w:r>
        <w:rPr>
          <w:rFonts w:hint="eastAsia" w:ascii="Noto Sans SC" w:hAnsi="Noto Sans SC" w:eastAsia="Noto Sans SC"/>
        </w:rPr>
        <w:t xml:space="preserve">测试覆盖以下核心行为：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和演示商品数据结构。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CSV </w:t>
      </w:r>
      <w:r>
        <w:rPr>
          <w:rFonts w:hint="eastAsia" w:ascii="Noto Sans SC" w:hAnsi="Noto Sans SC" w:eastAsia="Noto Sans SC"/>
        </w:rPr>
        <w:t xml:space="preserve">导入、字段校验、商品分组和资料整理。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生成、版本引用和卖点来源。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Amazon、Shopify、TikTok Shop </w:t>
      </w:r>
      <w:r>
        <w:rPr>
          <w:rFonts w:hint="eastAsia" w:ascii="Noto Sans SC" w:hAnsi="Noto Sans SC" w:eastAsia="Noto Sans SC"/>
        </w:rPr>
        <w:t xml:space="preserve">平台差异规则。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发布文件生成和人工确认记录。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个买家任务的批量测试与分组统计。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12 </w:t>
      </w:r>
      <w:r>
        <w:rPr>
          <w:rFonts w:hint="eastAsia" w:ascii="Noto Sans SC" w:hAnsi="Noto Sans SC" w:eastAsia="Noto Sans SC"/>
        </w:rPr>
        <w:t xml:space="preserve">个受控故障案例及四个故障类别。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故障只注入数据副本，不修改原始商品记录。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商品选择、约束评分、交易阻止和非破坏性修复。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修复后使用同一任务和故障通过复测。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HMAC </w:t>
      </w:r>
      <w:r>
        <w:rPr>
          <w:rFonts w:hint="eastAsia" w:ascii="Noto Sans SC" w:hAnsi="Noto Sans SC" w:eastAsia="Noto Sans SC"/>
        </w:rPr>
        <w:t xml:space="preserve">购物车签名、有效期和确认式模拟结账。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商品版本、价格、库存、运费变化时阻止结账。</w:t>
      </w:r>
    </w:p>
    <w:bookmarkEnd w:id="26"/>
    <w:bookmarkStart w:id="36" w:name="Xb9fd154905105c0646eb551063fc49f5a6e4324"/>
    <w:p>
      <w:pPr>
        <w:pStyle w:val="Heading2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端到端场景</w:t>
      </w:r>
    </w:p>
    <w:bookmarkStart w:id="27" w:name="方案总览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方案总览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业务问题、五步流程、AI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分工和评审价值可见；可进入上新任务</w:t>
      </w:r>
    </w:p>
    <w:bookmarkEnd w:id="27"/>
    <w:bookmarkStart w:id="28" w:name="完整上新闭环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完整上新闭环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选择平台和市场、生成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Listing、进入红队测试、修复复测、人工确认、下载文件</w:t>
      </w:r>
    </w:p>
    <w:bookmarkEnd w:id="28"/>
    <w:bookmarkStart w:id="29" w:name="桌面红队流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桌面红队流程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原始版本失败并阻止交易，修复版本通过，金额恢复正确</w:t>
      </w:r>
    </w:p>
    <w:bookmarkEnd w:id="29"/>
    <w:bookmarkStart w:id="30" w:name="移动端主要流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移动端主要流程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390px </w:t>
      </w:r>
      <w:r>
        <w:rPr>
          <w:rFonts w:hint="eastAsia" w:ascii="Noto Sans SC" w:hAnsi="Noto Sans SC" w:eastAsia="Noto Sans SC"/>
        </w:rPr>
        <w:t xml:space="preserve">视口下主按钮、导航和协议测试可操作，无横向溢出</w:t>
      </w:r>
    </w:p>
    <w:bookmarkEnd w:id="30"/>
    <w:bookmarkStart w:id="31" w:name="商品资料整理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商品资料整理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载入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CSV、政策和图片，生成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Passport，并进入上新任务</w:t>
      </w:r>
    </w:p>
    <w:bookmarkEnd w:id="31"/>
    <w:bookmarkStart w:id="32" w:name="任务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任务库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显示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个任务，搜索并启动指定任务</w:t>
      </w:r>
    </w:p>
    <w:bookmarkEnd w:id="32"/>
    <w:bookmarkStart w:id="33" w:name="故障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故障库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显示</w:t>
      </w:r>
      <w:r>
        <w:rPr>
          <w:rFonts w:ascii="Noto Sans SC" w:hAnsi="Noto Sans SC" w:eastAsia="Noto Sans SC"/>
        </w:rPr>
        <w:t xml:space="preserve"> 4 </w:t>
      </w:r>
      <w:r>
        <w:rPr>
          <w:rFonts w:hint="eastAsia" w:ascii="Noto Sans SC" w:hAnsi="Noto Sans SC" w:eastAsia="Noto Sans SC"/>
        </w:rPr>
        <w:t xml:space="preserve">类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个案例，查看载荷并运行指定故障</w:t>
      </w:r>
    </w:p>
    <w:bookmarkEnd w:id="33"/>
    <w:bookmarkStart w:id="34" w:name="协议与商业沙箱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协议与商业沙箱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运行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API、确认式模拟结账、不扣款</w:t>
      </w:r>
    </w:p>
    <w:bookmarkEnd w:id="34"/>
    <w:bookmarkStart w:id="35" w:name="七个工作区布局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七个工作区布局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桌面、平板、手机三档无横向溢出和面板覆盖</w:t>
      </w:r>
    </w:p>
    <w:bookmarkEnd w:id="35"/>
    <w:bookmarkEnd w:id="36"/>
    <w:bookmarkStart w:id="40" w:name="X0bf8f8261acb0a8ad9b52e7325a3c6658379e04"/>
    <w:p>
      <w:pPr>
        <w:pStyle w:val="Heading2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代表性失败—修复—复测</w:t>
      </w:r>
    </w:p>
    <w:bookmarkStart w:id="37" w:name="原始任务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原始任务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买家要求购买</w:t>
      </w:r>
      <w:r>
        <w:rPr>
          <w:rFonts w:ascii="Noto Sans SC" w:hAnsi="Noto Sans SC" w:eastAsia="Noto Sans SC"/>
        </w:rPr>
        <w:t xml:space="preserve"> 35 </w:t>
      </w:r>
      <w:r>
        <w:rPr>
          <w:rFonts w:hint="eastAsia" w:ascii="Noto Sans SC" w:hAnsi="Noto Sans SC" w:eastAsia="Noto Sans SC"/>
        </w:rPr>
        <w:t xml:space="preserve">美元以内、4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天内送达柏林、防泼水且结账前需要确认的旅行收纳袋。</w:t>
      </w:r>
    </w:p>
    <w:bookmarkEnd w:id="37"/>
    <w:bookmarkStart w:id="38" w:name="注入问题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注入问题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候选商品价格或到手金额超过预算。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评论或其他不可信内容试图改变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约束。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商品事实或认证信息发生冲突。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结账前没有完成明确人工确认。</w:t>
      </w:r>
    </w:p>
    <w:bookmarkEnd w:id="38"/>
    <w:bookmarkStart w:id="39" w:name="系统行为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系统行为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运行搜索、商品选择、配送核对、加购和模拟结账轨迹。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固定规则发现约束或金额不满足，结果显示“交易已阻止”。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系统生成新版本，保留原始资料和结构化差异。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使用同一个任务和故障重新运行。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修复版本恢复正确商品和金额，通过技术检查。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人工确认内容、价格、库存和配送后生成批准记录。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该流程证明系统不是把错误结果改成固定的“通过”，而是保留可比较的输入、版本、轨迹和结果。</w:t>
      </w:r>
    </w:p>
    <w:bookmarkEnd w:id="39"/>
    <w:bookmarkEnd w:id="40"/>
    <w:bookmarkStart w:id="41" w:name="X43e43575b204792fd6d8065e71debc3515cd005"/>
    <w:p>
      <w:pPr>
        <w:pStyle w:val="Heading2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商业沙箱验证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浏览器测试实际调用以下端点：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GET  /api/commerce/search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GET  /api/commerce/products/product-a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GET  /api/commerce/shipping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POST /api/commerce/cart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POST /api/commerce/checkout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验证条件包括：</w:t>
      </w:r>
    </w:p>
    <w:p>
      <w:pPr>
        <w:pStyle w:val="Compact"/>
        <w:numPr>
          <w:ilvl w:val="0"/>
          <w:numId w:val="1004"/>
        </w:numPr>
      </w:pPr>
      <w:r>
        <w:rPr>
          <w:rFonts w:ascii="Noto Sans SC" w:hAnsi="Noto Sans SC" w:eastAsia="Noto Sans SC"/>
        </w:rPr>
        <w:t xml:space="preserve">5 </w:t>
      </w:r>
      <w:r>
        <w:rPr>
          <w:rFonts w:hint="eastAsia" w:ascii="Noto Sans SC" w:hAnsi="Noto Sans SC" w:eastAsia="Noto Sans SC"/>
        </w:rPr>
        <w:t xml:space="preserve">个端点均返回可解析结果。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购物车令牌包含签名和有效期。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未确认结账返回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CONFIRMATION_REQUIRED</w:t>
      </w:r>
      <w:r>
        <w:rPr>
          <w:rFonts w:ascii="Noto Sans SC" w:hAnsi="Noto Sans SC" w:eastAsia="Noto Sans SC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显式确认且状态未变化时返回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confirmed</w:t>
      </w:r>
      <w:r>
        <w:rPr>
          <w:rFonts w:ascii="Noto Sans SC" w:hAnsi="Noto Sans SC" w:eastAsia="Noto Sans SC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价格、库存、运费或商品版本变化时不能继续结账。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任何演示结果均保持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payment=not_captured</w:t>
      </w:r>
      <w:r>
        <w:rPr>
          <w:rFonts w:ascii="Noto Sans SC" w:hAnsi="Noto Sans SC" w:eastAsia="Noto Sans SC"/>
        </w:rPr>
        <w:t xml:space="preserve">。</w:t>
      </w:r>
    </w:p>
    <w:bookmarkEnd w:id="41"/>
    <w:bookmarkStart w:id="42" w:name="X423138d62ecba313a91e0e2c4baf957a2a8393d"/>
    <w:p>
      <w:pPr>
        <w:pStyle w:val="Heading2"/>
        <w:keepNext/>
      </w:pPr>
      <w:r>
        <w:rPr>
          <w:rFonts w:ascii="Noto Sans SC" w:hAnsi="Noto Sans SC" w:eastAsia="Noto Sans SC"/>
        </w:rPr>
        <w:t xml:space="preserve">7. </w:t>
      </w:r>
      <w:r>
        <w:rPr>
          <w:rFonts w:hint="eastAsia" w:ascii="Noto Sans SC" w:hAnsi="Noto Sans SC" w:eastAsia="Noto Sans SC"/>
        </w:rPr>
        <w:t xml:space="preserve">界面与可访问性验证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在</w:t>
      </w:r>
      <w:r>
        <w:rPr>
          <w:rFonts w:ascii="Noto Sans SC" w:hAnsi="Noto Sans SC" w:eastAsia="Noto Sans SC"/>
        </w:rPr>
        <w:t xml:space="preserve"> 1440×1000、1024×900、390×844 </w:t>
      </w:r>
      <w:r>
        <w:rPr>
          <w:rFonts w:hint="eastAsia" w:ascii="Noto Sans SC" w:hAnsi="Noto Sans SC" w:eastAsia="Noto Sans SC"/>
        </w:rPr>
        <w:t xml:space="preserve">三种视口逐一打开七个工作区。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自动检查文档宽度不超过视口宽度。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自动计算可见工具面板边界，检查是否发生非预期覆盖。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主导航使用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aria-current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表示当前位置。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运行详情使用</w:t>
      </w:r>
      <w:r>
        <w:rPr>
          <w:rFonts w:ascii="Noto Sans SC" w:hAnsi="Noto Sans SC" w:eastAsia="Noto Sans SC"/>
        </w:rPr>
        <w:t xml:space="preserve"> Tab </w:t>
      </w:r>
      <w:r>
        <w:rPr>
          <w:rFonts w:hint="eastAsia" w:ascii="Noto Sans SC" w:hAnsi="Noto Sans SC" w:eastAsia="Noto Sans SC"/>
        </w:rPr>
        <w:t xml:space="preserve">语义，表单输入保留可见标签。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图标按钮提供标题或隐藏文本，键盘焦点具有明显样式。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背景已移除影响阅读的黑色点阵，不依赖装饰图形传达信息。</w:t>
      </w:r>
    </w:p>
    <w:bookmarkEnd w:id="42"/>
    <w:bookmarkStart w:id="43" w:name="X965a014a1773b1a90f9e85e2c4aa5f2ff33067e"/>
    <w:p>
      <w:pPr>
        <w:pStyle w:val="Heading2"/>
        <w:keepNext/>
      </w:pPr>
      <w:r>
        <w:rPr>
          <w:rFonts w:ascii="Noto Sans SC" w:hAnsi="Noto Sans SC" w:eastAsia="Noto Sans SC"/>
        </w:rPr>
        <w:t xml:space="preserve">8. </w:t>
      </w:r>
      <w:r>
        <w:rPr>
          <w:rFonts w:hint="eastAsia" w:ascii="Noto Sans SC" w:hAnsi="Noto Sans SC" w:eastAsia="Noto Sans SC"/>
        </w:rPr>
        <w:t xml:space="preserve">截图证据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稳定截图位于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submission/assets/screenshots/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desktop-solution-overview.png</w:t>
      </w:r>
      <w:r>
        <w:rPr>
          <w:rFonts w:hint="eastAsia" w:ascii="Noto Sans SC" w:hAnsi="Noto Sans SC" w:eastAsia="Noto Sans SC"/>
        </w:rPr>
        <w:t xml:space="preserve">：方案总览与评审信息。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desktop-memphis-launch.png</w:t>
      </w:r>
      <w:r>
        <w:rPr>
          <w:rFonts w:hint="eastAsia" w:ascii="Noto Sans SC" w:hAnsi="Noto Sans SC" w:eastAsia="Noto Sans SC"/>
        </w:rPr>
        <w:t xml:space="preserve">：创建上新任务和</w:t>
      </w:r>
      <w:r>
        <w:rPr>
          <w:rFonts w:ascii="Noto Sans SC" w:hAnsi="Noto Sans SC" w:eastAsia="Noto Sans SC"/>
        </w:rPr>
        <w:t xml:space="preserve"> Listing。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desktop-compiler.png</w:t>
      </w:r>
      <w:r>
        <w:rPr>
          <w:rFonts w:hint="eastAsia" w:ascii="Noto Sans SC" w:hAnsi="Noto Sans SC" w:eastAsia="Noto Sans SC"/>
        </w:rPr>
        <w:t xml:space="preserve">：商品资料整理与</w:t>
      </w:r>
      <w:r>
        <w:rPr>
          <w:rFonts w:ascii="Noto Sans SC" w:hAnsi="Noto Sans SC" w:eastAsia="Noto Sans SC"/>
        </w:rPr>
        <w:t xml:space="preserve"> Product Passport。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desktop-failed.png</w:t>
      </w:r>
      <w:r>
        <w:rPr>
          <w:rFonts w:hint="eastAsia" w:ascii="Noto Sans SC" w:hAnsi="Noto Sans SC" w:eastAsia="Noto Sans SC"/>
        </w:rPr>
        <w:t xml:space="preserve">：红队测试失败和交易阻止。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desktop-repaired.png</w:t>
      </w:r>
      <w:r>
        <w:rPr>
          <w:rFonts w:hint="eastAsia" w:ascii="Noto Sans SC" w:hAnsi="Noto Sans SC" w:eastAsia="Noto Sans SC"/>
        </w:rPr>
        <w:t xml:space="preserve">：修复版本与问题记录。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desktop-mission-run.png</w:t>
      </w:r>
      <w:r>
        <w:rPr>
          <w:rFonts w:hint="eastAsia" w:ascii="Noto Sans SC" w:hAnsi="Noto Sans SC" w:eastAsia="Noto Sans SC"/>
        </w:rPr>
        <w:t xml:space="preserve">：指定买家任务运行。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desktop-fault-library.png</w:t>
      </w:r>
      <w:r>
        <w:rPr>
          <w:rFonts w:hint="eastAsia" w:ascii="Noto Sans SC" w:hAnsi="Noto Sans SC" w:eastAsia="Noto Sans SC"/>
        </w:rPr>
        <w:t xml:space="preserve">：故障库和载荷详情。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desktop-protocol-sandbox.png</w:t>
      </w:r>
      <w:r>
        <w:rPr>
          <w:rFonts w:hint="eastAsia" w:ascii="Noto Sans SC" w:hAnsi="Noto Sans SC" w:eastAsia="Noto Sans SC"/>
        </w:rPr>
        <w:t xml:space="preserve">：商业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与协议测试。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Noto Sans SC" w:hAnsi="Noto Sans SC" w:eastAsia="Noto Sans SC"/>
        </w:rPr>
        <w:t xml:space="preserve">mobile-ready.png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mobile-protocol-ready.png</w:t>
      </w:r>
      <w:r>
        <w:rPr>
          <w:rFonts w:hint="eastAsia" w:ascii="Noto Sans SC" w:hAnsi="Noto Sans SC" w:eastAsia="Noto Sans SC"/>
        </w:rPr>
        <w:t xml:space="preserve">：移动端工作流。</w:t>
      </w:r>
    </w:p>
    <w:bookmarkEnd w:id="43"/>
    <w:bookmarkStart w:id="44" w:name="Xdf830dc2e24c179501fbca361b96b341235e59b"/>
    <w:p>
      <w:pPr>
        <w:pStyle w:val="Heading2"/>
        <w:keepNext/>
      </w:pPr>
      <w:r>
        <w:rPr>
          <w:rFonts w:ascii="Noto Sans SC" w:hAnsi="Noto Sans SC" w:eastAsia="Noto Sans SC"/>
        </w:rPr>
        <w:t xml:space="preserve">9. </w:t>
      </w:r>
      <w:r>
        <w:rPr>
          <w:rFonts w:hint="eastAsia" w:ascii="Noto Sans SC" w:hAnsi="Noto Sans SC" w:eastAsia="Noto Sans SC"/>
        </w:rPr>
        <w:t xml:space="preserve">已知限制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演示商品和故障是受控数据，不能替代真实卖家数据验证。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当前没有真实电商平台发布连接和真实支付。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未配置</w:t>
      </w:r>
      <w:r>
        <w:rPr>
          <w:rFonts w:ascii="Noto Sans SC" w:hAnsi="Noto Sans SC" w:eastAsia="Noto Sans SC"/>
        </w:rPr>
        <w:t xml:space="preserve"> Qwen API Key </w:t>
      </w:r>
      <w:r>
        <w:rPr>
          <w:rFonts w:hint="eastAsia" w:ascii="Noto Sans SC" w:hAnsi="Noto Sans SC" w:eastAsia="Noto Sans SC"/>
        </w:rPr>
        <w:t xml:space="preserve">时，会降级到固定规则；这保证流程可运行，但无法展示模型增强效果。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当前不包含生产级账号、权限、多租户、数据库、任务队列和监控。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测试证明当前实现与已知场景符合预期，不代表覆盖所有国家、品类和新型攻击方式。</w:t>
      </w:r>
    </w:p>
    <w:bookmarkEnd w:id="44"/>
    <w:bookmarkStart w:id="45" w:name="Xa10d6f2a4db431623da4131c3c2060c8d836a79"/>
    <w:p>
      <w:pPr>
        <w:pStyle w:val="Heading2"/>
        <w:keepNext/>
      </w:pPr>
      <w:r>
        <w:rPr>
          <w:rFonts w:ascii="Noto Sans SC" w:hAnsi="Noto Sans SC" w:eastAsia="Noto Sans SC"/>
        </w:rPr>
        <w:t xml:space="preserve">10. </w:t>
      </w:r>
      <w:r>
        <w:rPr>
          <w:rFonts w:hint="eastAsia" w:ascii="Noto Sans SC" w:hAnsi="Noto Sans SC" w:eastAsia="Noto Sans SC"/>
        </w:rPr>
        <w:t xml:space="preserve">复现步骤</w:t>
      </w:r>
    </w:p>
    <w:p>
      <w:pPr>
        <w:pStyle w:val="SourceCode"/>
      </w:pPr>
      <w:r>
        <w:rPr>
          <w:rStyle w:val="ExtensionTok"/>
          <w:rFonts w:ascii="Noto Sans SC" w:hAnsi="Noto Sans SC" w:eastAsia="Noto Sans SC"/>
        </w:rPr>
        <w:t xml:space="preserve">npm</w:t>
      </w:r>
      <w:r>
        <w:rPr>
          <w:rStyle w:val="NormalTok"/>
          <w:rFonts w:ascii="Noto Sans SC" w:hAnsi="Noto Sans SC" w:eastAsia="Noto Sans SC"/>
        </w:rPr>
        <w:t xml:space="preserve"> install</w:t>
      </w:r>
      <w:r>
        <w:rPr>
          <w:rFonts w:ascii="Noto Sans SC" w:hAnsi="Noto Sans SC" w:eastAsia="Noto Sans SC"/>
        </w:rPr>
        <w:br/>
      </w:r>
      <w:r>
        <w:rPr>
          <w:rStyle w:val="FunctionTok"/>
          <w:rFonts w:ascii="Noto Sans SC" w:hAnsi="Noto Sans SC" w:eastAsia="Noto Sans SC"/>
        </w:rPr>
        <w:t xml:space="preserve">cp</w:t>
      </w:r>
      <w:r>
        <w:rPr>
          <w:rStyle w:val="NormalTok"/>
          <w:rFonts w:ascii="Noto Sans SC" w:hAnsi="Noto Sans SC" w:eastAsia="Noto Sans SC"/>
        </w:rPr>
        <w:t xml:space="preserve"> .env.example .env.local</w:t>
      </w:r>
      <w:r>
        <w:rPr>
          <w:rFonts w:ascii="Noto Sans SC" w:hAnsi="Noto Sans SC" w:eastAsia="Noto Sans SC"/>
        </w:rPr>
        <w:br/>
      </w:r>
      <w:r>
        <w:rPr>
          <w:rStyle w:val="ExtensionTok"/>
          <w:rFonts w:ascii="Noto Sans SC" w:hAnsi="Noto Sans SC" w:eastAsia="Noto Sans SC"/>
        </w:rPr>
        <w:t xml:space="preserve">npm</w:t>
      </w:r>
      <w:r>
        <w:rPr>
          <w:rStyle w:val="NormalTok"/>
          <w:rFonts w:ascii="Noto Sans SC" w:hAnsi="Noto Sans SC" w:eastAsia="Noto Sans SC"/>
        </w:rPr>
        <w:t xml:space="preserve"> run dev </w:t>
      </w:r>
      <w:r>
        <w:rPr>
          <w:rStyle w:val="AttributeTok"/>
          <w:rFonts w:ascii="Noto Sans SC" w:hAnsi="Noto Sans SC" w:eastAsia="Noto Sans SC"/>
        </w:rPr>
        <w:t xml:space="preserve">--</w:t>
      </w:r>
      <w:r>
        <w:rPr>
          <w:rStyle w:val="NormalTok"/>
          <w:rFonts w:ascii="Noto Sans SC" w:hAnsi="Noto Sans SC" w:eastAsia="Noto Sans SC"/>
        </w:rPr>
        <w:t xml:space="preserve"> </w:t>
      </w:r>
      <w:r>
        <w:rPr>
          <w:rStyle w:val="AttributeTok"/>
          <w:rFonts w:ascii="Noto Sans SC" w:hAnsi="Noto Sans SC" w:eastAsia="Noto Sans SC"/>
        </w:rPr>
        <w:t xml:space="preserve">--hostname</w:t>
      </w:r>
      <w:r>
        <w:rPr>
          <w:rStyle w:val="NormalTok"/>
          <w:rFonts w:ascii="Noto Sans SC" w:hAnsi="Noto Sans SC" w:eastAsia="Noto Sans SC"/>
        </w:rPr>
        <w:t xml:space="preserve"> 127.0.0.1 </w:t>
      </w:r>
      <w:r>
        <w:rPr>
          <w:rStyle w:val="AttributeTok"/>
          <w:rFonts w:ascii="Noto Sans SC" w:hAnsi="Noto Sans SC" w:eastAsia="Noto Sans SC"/>
        </w:rPr>
        <w:t xml:space="preserve">--port</w:t>
      </w:r>
      <w:r>
        <w:rPr>
          <w:rStyle w:val="NormalTok"/>
          <w:rFonts w:ascii="Noto Sans SC" w:hAnsi="Noto Sans SC" w:eastAsia="Noto Sans SC"/>
        </w:rPr>
        <w:t xml:space="preserve"> 3010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另开终端执行：</w:t>
      </w:r>
    </w:p>
    <w:p>
      <w:pPr>
        <w:pStyle w:val="SourceCode"/>
      </w:pPr>
      <w:r>
        <w:rPr>
          <w:rStyle w:val="ExtensionTok"/>
          <w:rFonts w:ascii="Noto Sans SC" w:hAnsi="Noto Sans SC" w:eastAsia="Noto Sans SC"/>
        </w:rPr>
        <w:t xml:space="preserve">npm</w:t>
      </w:r>
      <w:r>
        <w:rPr>
          <w:rStyle w:val="NormalTok"/>
          <w:rFonts w:ascii="Noto Sans SC" w:hAnsi="Noto Sans SC" w:eastAsia="Noto Sans SC"/>
        </w:rPr>
        <w:t xml:space="preserve"> run lint</w:t>
      </w:r>
      <w:r>
        <w:rPr>
          <w:rFonts w:ascii="Noto Sans SC" w:hAnsi="Noto Sans SC" w:eastAsia="Noto Sans SC"/>
        </w:rPr>
        <w:br/>
      </w:r>
      <w:r>
        <w:rPr>
          <w:rStyle w:val="ExtensionTok"/>
          <w:rFonts w:ascii="Noto Sans SC" w:hAnsi="Noto Sans SC" w:eastAsia="Noto Sans SC"/>
        </w:rPr>
        <w:t xml:space="preserve">npm</w:t>
      </w:r>
      <w:r>
        <w:rPr>
          <w:rStyle w:val="NormalTok"/>
          <w:rFonts w:ascii="Noto Sans SC" w:hAnsi="Noto Sans SC" w:eastAsia="Noto Sans SC"/>
        </w:rPr>
        <w:t xml:space="preserve"> test</w:t>
      </w:r>
      <w:r>
        <w:rPr>
          <w:rFonts w:ascii="Noto Sans SC" w:hAnsi="Noto Sans SC" w:eastAsia="Noto Sans SC"/>
        </w:rPr>
        <w:br/>
      </w:r>
      <w:r>
        <w:rPr>
          <w:rStyle w:val="ExtensionTok"/>
          <w:rFonts w:ascii="Noto Sans SC" w:hAnsi="Noto Sans SC" w:eastAsia="Noto Sans SC"/>
        </w:rPr>
        <w:t xml:space="preserve">npm</w:t>
      </w:r>
      <w:r>
        <w:rPr>
          <w:rStyle w:val="NormalTok"/>
          <w:rFonts w:ascii="Noto Sans SC" w:hAnsi="Noto Sans SC" w:eastAsia="Noto Sans SC"/>
        </w:rPr>
        <w:t xml:space="preserve"> run build</w:t>
      </w:r>
      <w:r>
        <w:rPr>
          <w:rFonts w:ascii="Noto Sans SC" w:hAnsi="Noto Sans SC" w:eastAsia="Noto Sans SC"/>
        </w:rPr>
        <w:br/>
      </w:r>
      <w:r>
        <w:rPr>
          <w:rStyle w:val="ExtensionTok"/>
          <w:rFonts w:ascii="Noto Sans SC" w:hAnsi="Noto Sans SC" w:eastAsia="Noto Sans SC"/>
        </w:rPr>
        <w:t xml:space="preserve">npm</w:t>
      </w:r>
      <w:r>
        <w:rPr>
          <w:rStyle w:val="NormalTok"/>
          <w:rFonts w:ascii="Noto Sans SC" w:hAnsi="Noto Sans SC" w:eastAsia="Noto Sans SC"/>
        </w:rPr>
        <w:t xml:space="preserve"> run test:e2e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Qwen API Key </w:t>
      </w:r>
      <w:r>
        <w:rPr>
          <w:rFonts w:hint="eastAsia" w:ascii="Noto Sans SC" w:hAnsi="Noto Sans SC" w:eastAsia="Noto Sans SC"/>
        </w:rPr>
        <w:t xml:space="preserve">为可选配置。商业沙箱密钥仅用于本地签名，不应提交真实生产密钥。</w:t>
      </w:r>
    </w:p>
    <w:bookmarkEnd w:id="45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05_测试验证报告</dc:title>
  <dc:creator>AgentShelf 参赛团队</dc:creator>
  <cp:keywords>AI 智能上新, Agent, Product Passport, Listing, 红队测试</cp:keywords>
  <dcterms:created xsi:type="dcterms:W3CDTF">2026-08-22T06:19:11Z</dcterms:created>
  <dcterms:modified xsi:type="dcterms:W3CDTF">2026-08-22T06:19:11Z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