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hint="eastAsia" w:ascii="Arial Unicode MS" w:hAnsi="Arial Unicode MS" w:eastAsia="Arial Unicode MS"/>
        </w:rPr>
        <w:t xml:space="preserve">业务价值与产品说明</w:t>
      </w:r>
    </w:p>
    <w:p>
      <w:pPr>
        <w:pStyle w:val="Subtitle"/>
        <w:keepNext/>
      </w:pPr>
      <w:r>
        <w:rPr>
          <w:rFonts w:hint="eastAsia" w:ascii="Arial Unicode MS" w:hAnsi="Arial Unicode MS" w:eastAsia="Arial Unicode MS"/>
        </w:rPr>
        <w:t xml:space="preserve">面向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的跨境商品安全上新平台</w:t>
      </w:r>
    </w:p>
    <w:p>
      <w:pPr>
        <w:pStyle w:val="Date"/>
      </w:pPr>
      <w:r>
        <w:rPr>
          <w:rFonts w:ascii="Arial Unicode MS" w:hAnsi="Arial Unicode MS" w:eastAsia="Arial Unicode MS"/>
        </w:rPr>
        <w:t xml:space="preserve">2026 </w:t>
      </w:r>
      <w:r>
        <w:rPr>
          <w:rFonts w:hint="eastAsia" w:ascii="Arial Unicode MS" w:hAnsi="Arial Unicode MS" w:eastAsia="Arial Unicode MS"/>
        </w:rPr>
        <w:t xml:space="preserve">年</w:t>
      </w:r>
      <w:r>
        <w:rPr>
          <w:rFonts w:ascii="Arial Unicode MS" w:hAnsi="Arial Unicode MS" w:eastAsia="Arial Unicode MS"/>
        </w:rPr>
        <w:t xml:space="preserve"> 8 </w:t>
      </w:r>
      <w:r>
        <w:rPr>
          <w:rFonts w:hint="eastAsia" w:ascii="Arial Unicode MS" w:hAnsi="Arial Unicode MS" w:eastAsia="Arial Unicode MS"/>
        </w:rPr>
        <w:t xml:space="preserve">月</w:t>
      </w:r>
    </w:p>
    <w:bookmarkStart w:id="19" w:name="X34bfda4cee7bf0be52d9fd32e49af6b05bce92e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1. </w:t>
      </w:r>
      <w:r>
        <w:rPr>
          <w:rFonts w:hint="eastAsia" w:ascii="Arial Unicode MS" w:hAnsi="Arial Unicode MS" w:eastAsia="Arial Unicode MS"/>
        </w:rPr>
        <w:t xml:space="preserve">产品定位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AgentShelf </w:t>
      </w:r>
      <w:r>
        <w:rPr>
          <w:rFonts w:hint="eastAsia" w:ascii="Arial Unicode MS" w:hAnsi="Arial Unicode MS" w:eastAsia="Arial Unicode MS"/>
        </w:rPr>
        <w:t xml:space="preserve">是跨境商品发布前的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质量与安全检查平台。它位于商品资料系统和销售平台之间，把商品资料整理、Listing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生成、规则检查、Agent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红队测试、修复复测和人工确认连接起来。</w:t>
      </w:r>
    </w:p>
    <w:p>
      <w:pPr>
        <w:pStyle w:val="BodyText"/>
      </w:pPr>
      <w:r>
        <w:rPr>
          <w:rFonts w:hint="eastAsia" w:ascii="Arial Unicode MS" w:hAnsi="Arial Unicode MS" w:eastAsia="Arial Unicode MS"/>
        </w:rPr>
        <w:t xml:space="preserve">产品只聚焦“AI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智能上新”一个命题。协议适配和模拟结账不是另一个命题，而是用于验证上新后的商品能否被购物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安全读取和使用。</w:t>
      </w:r>
    </w:p>
    <w:bookmarkEnd w:id="19"/>
    <w:bookmarkStart w:id="20" w:name="Xe5cef18a100b722278cbafbb101e67eb09e8788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2. </w:t>
      </w:r>
      <w:r>
        <w:rPr>
          <w:rFonts w:hint="eastAsia" w:ascii="Arial Unicode MS" w:hAnsi="Arial Unicode MS" w:eastAsia="Arial Unicode MS"/>
        </w:rPr>
        <w:t xml:space="preserve">目标用户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1797"/>
        <w:gridCol w:w="2461"/>
        <w:gridCol w:w="2151"/>
        <w:gridCol w:w="2951"/>
      </w:tblGrid>
      <w:tr>
        <w:trPr>
          <w:tblHeader w:val="on"/>
          <w:tblHeader w:val="true"/>
        </w:trPr>
        <w:tc>
          <w:tcPr>
            <w:tcW w:w="179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用户</w:t>
            </w:r>
          </w:p>
        </w:tc>
        <w:tc>
          <w:tcPr>
            <w:tcW w:w="246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日常任务</w:t>
            </w:r>
          </w:p>
        </w:tc>
        <w:tc>
          <w:tcPr>
            <w:tcW w:w="215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主要困难</w:t>
            </w:r>
          </w:p>
        </w:tc>
        <w:tc>
          <w:tcPr>
            <w:tcW w:w="295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b/>
                <w:sz w:val="18"/>
              </w:rPr>
              <w:t xml:space="preserve">AgentShelf </w:t>
            </w: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提供的价值</w:t>
            </w:r>
          </w:p>
        </w:tc>
      </w:tr>
      <w:tr>
        <w:tc>
          <w:tcPr>
            <w:tcW w:w="179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跨境卖家运营</w:t>
            </w:r>
          </w:p>
        </w:tc>
        <w:tc>
          <w:tcPr>
            <w:tcW w:w="246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整理资料、生成内容、多平台发布</w:t>
            </w:r>
          </w:p>
        </w:tc>
        <w:tc>
          <w:tcPr>
            <w:tcW w:w="215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资料散、规则多、重复核对</w:t>
            </w:r>
          </w:p>
        </w:tc>
        <w:tc>
          <w:tcPr>
            <w:tcW w:w="295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统一资料源，一次配置生成多平台内容和检查结果</w:t>
            </w:r>
          </w:p>
        </w:tc>
      </w:tr>
      <w:tr>
        <w:tc>
          <w:tcPr>
            <w:tcW w:w="179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商品与合规人员</w:t>
            </w:r>
          </w:p>
        </w:tc>
        <w:tc>
          <w:tcPr>
            <w:tcW w:w="246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核对卖点、认证、政策和市场限制</w:t>
            </w:r>
          </w:p>
        </w:tc>
        <w:tc>
          <w:tcPr>
            <w:tcW w:w="215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很难追踪文案来自哪份资料</w:t>
            </w:r>
          </w:p>
        </w:tc>
        <w:tc>
          <w:tcPr>
            <w:tcW w:w="295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卖点来源台账、冲突与未知项、版本差异</w:t>
            </w:r>
          </w:p>
        </w:tc>
      </w:tr>
      <w:tr>
        <w:tc>
          <w:tcPr>
            <w:tcW w:w="179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电商</w:t>
            </w:r>
            <w:r>
              <w:rPr>
                <w:rFonts w:ascii="Arial Unicode MS" w:hAnsi="Arial Unicode MS" w:eastAsia="Arial Unicode MS"/>
                <w:sz w:val="18"/>
              </w:rPr>
              <w:t xml:space="preserve"> ISV</w:t>
            </w:r>
          </w:p>
        </w:tc>
        <w:tc>
          <w:tcPr>
            <w:tcW w:w="246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为多个卖家提供上新和发布服务</w:t>
            </w:r>
          </w:p>
        </w:tc>
        <w:tc>
          <w:tcPr>
            <w:tcW w:w="215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需要可复用的质量与安全能力</w:t>
            </w:r>
          </w:p>
        </w:tc>
        <w:tc>
          <w:tcPr>
            <w:tcW w:w="295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API、规则引擎、任务库、故障库和报告输出</w:t>
            </w:r>
          </w:p>
        </w:tc>
      </w:tr>
      <w:tr>
        <w:tc>
          <w:tcPr>
            <w:tcW w:w="179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平台运营与治理人员</w:t>
            </w:r>
          </w:p>
        </w:tc>
        <w:tc>
          <w:tcPr>
            <w:tcW w:w="246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降低错误商品信息和</w:t>
            </w:r>
            <w:r>
              <w:rPr>
                <w:rFonts w:ascii="Arial Unicode MS" w:hAnsi="Arial Unicode MS" w:eastAsia="Arial Unicode MS"/>
                <w:sz w:val="18"/>
              </w:rPr>
              <w:t xml:space="preserve"> Agent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交易风险</w:t>
            </w:r>
          </w:p>
        </w:tc>
        <w:tc>
          <w:tcPr>
            <w:tcW w:w="215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传统审核难覆盖机器读取内容</w:t>
            </w:r>
          </w:p>
        </w:tc>
        <w:tc>
          <w:tcPr>
            <w:tcW w:w="295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Agent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红队任务、实时状态核对和确认式结账</w:t>
            </w:r>
          </w:p>
        </w:tc>
      </w:tr>
    </w:tbl>
    <w:bookmarkEnd w:id="20"/>
    <w:bookmarkStart w:id="21" w:name="Xcf27b2cf9b39d073115037e8988acb84a002914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3. </w:t>
      </w:r>
      <w:r>
        <w:rPr>
          <w:rFonts w:hint="eastAsia" w:ascii="Arial Unicode MS" w:hAnsi="Arial Unicode MS" w:eastAsia="Arial Unicode MS"/>
        </w:rPr>
        <w:t xml:space="preserve">用户当前流程与问题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典型流程是：收集资料、人工整理、使用翻译或文案工具、逐个平台填写、人工检查、提交后再根据错误返工。问题集中在四处：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  <w:b/>
          <w:bCs/>
        </w:rPr>
        <w:t xml:space="preserve">输入不统一</w:t>
      </w:r>
      <w:r>
        <w:rPr>
          <w:rFonts w:hint="eastAsia" w:ascii="Arial Unicode MS" w:hAnsi="Arial Unicode MS" w:eastAsia="Arial Unicode MS"/>
        </w:rPr>
        <w:t xml:space="preserve">：表格、图片和政策没有统一结构，冲突经常被忽略。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  <w:b/>
          <w:bCs/>
        </w:rPr>
        <w:t xml:space="preserve">生成不可追溯</w:t>
      </w:r>
      <w:r>
        <w:rPr>
          <w:rFonts w:hint="eastAsia" w:ascii="Arial Unicode MS" w:hAnsi="Arial Unicode MS" w:eastAsia="Arial Unicode MS"/>
        </w:rPr>
        <w:t xml:space="preserve">：文案看起来合理，但无法快速说明材料、尺寸、认证或承诺来自哪里。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  <w:b/>
          <w:bCs/>
        </w:rPr>
        <w:t xml:space="preserve">检查不完整</w:t>
      </w:r>
      <w:r>
        <w:rPr>
          <w:rFonts w:hint="eastAsia" w:ascii="Arial Unicode MS" w:hAnsi="Arial Unicode MS" w:eastAsia="Arial Unicode MS"/>
        </w:rPr>
        <w:t xml:space="preserve">：内容检查与价格、库存、运费和配送检查互相分离。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  <w:b/>
          <w:bCs/>
        </w:rPr>
        <w:t xml:space="preserve">发布后才发现风险</w:t>
      </w:r>
      <w:r>
        <w:rPr>
          <w:rFonts w:hint="eastAsia" w:ascii="Arial Unicode MS" w:hAnsi="Arial Unicode MS" w:eastAsia="Arial Unicode MS"/>
        </w:rPr>
        <w:t xml:space="preserve">：缺少面向购物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的测试，评论注入或状态差异可能进入后续交易。</w:t>
      </w:r>
    </w:p>
    <w:bookmarkEnd w:id="21"/>
    <w:bookmarkStart w:id="22" w:name="X11134331e1ae63c0e31415ee503cfc073023c9c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4. AgentShelf </w:t>
      </w:r>
      <w:r>
        <w:rPr>
          <w:rFonts w:hint="eastAsia" w:ascii="Arial Unicode MS" w:hAnsi="Arial Unicode MS" w:eastAsia="Arial Unicode MS"/>
        </w:rPr>
        <w:t xml:space="preserve">的业务流程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运营人员导入商品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CSV、图片和政策资料。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系统生成</w:t>
      </w:r>
      <w:r>
        <w:rPr>
          <w:rFonts w:ascii="Arial Unicode MS" w:hAnsi="Arial Unicode MS" w:eastAsia="Arial Unicode MS"/>
        </w:rPr>
        <w:t xml:space="preserve"> Product </w:t>
      </w:r>
      <w:r>
        <w:rPr>
          <w:rFonts w:hint="eastAsia" w:ascii="Arial Unicode MS" w:hAnsi="Arial Unicode MS" w:eastAsia="Arial Unicode MS"/>
        </w:rPr>
        <w:t xml:space="preserve">Passport，标记来源、冲突和未知项。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运营人员选择销售平台、目标市场、语言和品类。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系统生成本地化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Listing，并执行平台发布前检查。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系统运行</w:t>
      </w:r>
      <w:r>
        <w:rPr>
          <w:rFonts w:ascii="Arial Unicode MS" w:hAnsi="Arial Unicode MS" w:eastAsia="Arial Unicode MS"/>
        </w:rPr>
        <w:t xml:space="preserve"> 30 </w:t>
      </w:r>
      <w:r>
        <w:rPr>
          <w:rFonts w:hint="eastAsia" w:ascii="Arial Unicode MS" w:hAnsi="Arial Unicode MS" w:eastAsia="Arial Unicode MS"/>
        </w:rPr>
        <w:t xml:space="preserve">个买家任务和选定的受控故障。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若发现问题，系统阻止模拟交易并生成修复版本。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使用相同任务和故障复测，确认问题是否真正解决。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运营人员再次核对内容、价格、库存和配送状态。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系统导出发布文件和完整测试证据。</w:t>
      </w:r>
    </w:p>
    <w:bookmarkEnd w:id="22"/>
    <w:bookmarkStart w:id="23" w:name="X689f77ebbfa2d23aaf4986e7d95c9fa59b297cc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5. </w:t>
      </w:r>
      <w:r>
        <w:rPr>
          <w:rFonts w:hint="eastAsia" w:ascii="Arial Unicode MS" w:hAnsi="Arial Unicode MS" w:eastAsia="Arial Unicode MS"/>
        </w:rPr>
        <w:t xml:space="preserve">价值对应关系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2067"/>
        <w:gridCol w:w="3801"/>
        <w:gridCol w:w="3492"/>
      </w:tblGrid>
      <w:tr>
        <w:trPr>
          <w:tblHeader w:val="on"/>
          <w:tblHeader w:val="true"/>
        </w:trPr>
        <w:tc>
          <w:tcPr>
            <w:tcW w:w="20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业务问题</w:t>
            </w:r>
          </w:p>
        </w:tc>
        <w:tc>
          <w:tcPr>
            <w:tcW w:w="38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产品能力</w:t>
            </w:r>
          </w:p>
        </w:tc>
        <w:tc>
          <w:tcPr>
            <w:tcW w:w="3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可观察结果</w:t>
            </w:r>
          </w:p>
        </w:tc>
      </w:tr>
      <w:tr>
        <w:tc>
          <w:tcPr>
            <w:tcW w:w="20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资料整理耗时</w:t>
            </w:r>
          </w:p>
        </w:tc>
        <w:tc>
          <w:tcPr>
            <w:tcW w:w="38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CSV、图片、政策统一生成</w:t>
            </w:r>
            <w:r>
              <w:rPr>
                <w:rFonts w:ascii="Arial Unicode MS" w:hAnsi="Arial Unicode MS" w:eastAsia="Arial Unicode MS"/>
                <w:sz w:val="18"/>
              </w:rPr>
              <w:t xml:space="preserve"> Product Passport</w:t>
            </w:r>
          </w:p>
        </w:tc>
        <w:tc>
          <w:tcPr>
            <w:tcW w:w="3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每个</w:t>
            </w:r>
            <w:r>
              <w:rPr>
                <w:rFonts w:ascii="Arial Unicode MS" w:hAnsi="Arial Unicode MS" w:eastAsia="Arial Unicode MS"/>
                <w:sz w:val="18"/>
              </w:rPr>
              <w:t xml:space="preserve"> SKU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形成统一且可版本化的商品资料</w:t>
            </w:r>
          </w:p>
        </w:tc>
      </w:tr>
      <w:tr>
        <w:tc>
          <w:tcPr>
            <w:tcW w:w="20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卖点缺少来源</w:t>
            </w:r>
          </w:p>
        </w:tc>
        <w:tc>
          <w:tcPr>
            <w:tcW w:w="38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Listing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卖点与可信事实</w:t>
            </w:r>
            <w:r>
              <w:rPr>
                <w:rFonts w:ascii="Arial Unicode MS" w:hAnsi="Arial Unicode MS" w:eastAsia="Arial Unicode MS"/>
                <w:sz w:val="18"/>
              </w:rPr>
              <w:t xml:space="preserve"> ID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绑定</w:t>
            </w:r>
          </w:p>
        </w:tc>
        <w:tc>
          <w:tcPr>
            <w:tcW w:w="3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可统计有来源卖点的比例</w:t>
            </w:r>
          </w:p>
        </w:tc>
      </w:tr>
      <w:tr>
        <w:tc>
          <w:tcPr>
            <w:tcW w:w="20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多平台规则复杂</w:t>
            </w:r>
          </w:p>
        </w:tc>
        <w:tc>
          <w:tcPr>
            <w:tcW w:w="38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按平台、市场和语言执行差异规则</w:t>
            </w:r>
          </w:p>
        </w:tc>
        <w:tc>
          <w:tcPr>
            <w:tcW w:w="3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每次生成都有结构化检查结果</w:t>
            </w:r>
          </w:p>
        </w:tc>
      </w:tr>
      <w:tr>
        <w:tc>
          <w:tcPr>
            <w:tcW w:w="20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实时状态不一致</w:t>
            </w:r>
          </w:p>
        </w:tc>
        <w:tc>
          <w:tcPr>
            <w:tcW w:w="38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发布和模拟结账前核对价格、库存、运费和版本</w:t>
            </w:r>
          </w:p>
        </w:tc>
        <w:tc>
          <w:tcPr>
            <w:tcW w:w="3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状态变化时阻止继续操作</w:t>
            </w:r>
          </w:p>
        </w:tc>
      </w:tr>
      <w:tr>
        <w:tc>
          <w:tcPr>
            <w:tcW w:w="20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Agent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输入风险</w:t>
            </w:r>
          </w:p>
        </w:tc>
        <w:tc>
          <w:tcPr>
            <w:tcW w:w="38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30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个任务和</w:t>
            </w:r>
            <w:r>
              <w:rPr>
                <w:rFonts w:ascii="Arial Unicode MS" w:hAnsi="Arial Unicode MS" w:eastAsia="Arial Unicode MS"/>
                <w:sz w:val="18"/>
              </w:rPr>
              <w:t xml:space="preserve"> 12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个受控故障</w:t>
            </w:r>
          </w:p>
        </w:tc>
        <w:tc>
          <w:tcPr>
            <w:tcW w:w="3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问题可以重现、定位和分类</w:t>
            </w:r>
          </w:p>
        </w:tc>
      </w:tr>
      <w:tr>
        <w:tc>
          <w:tcPr>
            <w:tcW w:w="20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修复缺少证据</w:t>
            </w:r>
          </w:p>
        </w:tc>
        <w:tc>
          <w:tcPr>
            <w:tcW w:w="38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新版本、结构化差异、同任务复测</w:t>
            </w:r>
          </w:p>
        </w:tc>
        <w:tc>
          <w:tcPr>
            <w:tcW w:w="3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可以比较修复前后的结果</w:t>
            </w:r>
          </w:p>
        </w:tc>
      </w:tr>
      <w:tr>
        <w:tc>
          <w:tcPr>
            <w:tcW w:w="20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自动化责任不清</w:t>
            </w:r>
          </w:p>
        </w:tc>
        <w:tc>
          <w:tcPr>
            <w:tcW w:w="380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强制人工确认</w:t>
            </w:r>
          </w:p>
        </w:tc>
        <w:tc>
          <w:tcPr>
            <w:tcW w:w="3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保存确认内容和批准记录</w:t>
            </w:r>
          </w:p>
        </w:tc>
      </w:tr>
    </w:tbl>
    <w:bookmarkEnd w:id="23"/>
    <w:bookmarkStart w:id="27" w:name="X5b9a76f119301727c166554d483e54539a0b0b5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6. </w:t>
      </w:r>
      <w:r>
        <w:rPr>
          <w:rFonts w:hint="eastAsia" w:ascii="Arial Unicode MS" w:hAnsi="Arial Unicode MS" w:eastAsia="Arial Unicode MS"/>
        </w:rPr>
        <w:t xml:space="preserve">核心差异</w:t>
      </w:r>
    </w:p>
    <w:bookmarkStart w:id="24" w:name="与普通-listing-生成工具相比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与普通</w:t>
      </w:r>
      <w:r>
        <w:rPr>
          <w:rFonts w:ascii="Arial Unicode MS" w:hAnsi="Arial Unicode MS" w:eastAsia="Arial Unicode MS"/>
        </w:rPr>
        <w:t xml:space="preserve"> Listing </w:t>
      </w:r>
      <w:r>
        <w:rPr>
          <w:rFonts w:hint="eastAsia" w:ascii="Arial Unicode MS" w:hAnsi="Arial Unicode MS" w:eastAsia="Arial Unicode MS"/>
        </w:rPr>
        <w:t xml:space="preserve">生成工具相比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普通工具的输出重点是文案，AgentShelf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的输出还包括商品事实、来源、平台检查、红队测试、修复记录和发布确认。模型不可以自由添加无法验证的卖点。</w:t>
      </w:r>
    </w:p>
    <w:bookmarkEnd w:id="24"/>
    <w:bookmarkStart w:id="25" w:name="与传统内容审核相比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与传统内容审核相比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传统审核主要检查文本是否违规。AgentShelf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同时检查购物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会读取的商品字段、评论、OCR、实时商业状态和工具调用过程，并验证从搜索到模拟结账的完整路径。</w:t>
      </w:r>
    </w:p>
    <w:bookmarkEnd w:id="25"/>
    <w:bookmarkStart w:id="26" w:name="与单次测试脚本相比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与单次测试脚本相比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单次脚本只能说明某次运行结果。AgentShelf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保存任务、故障、输入版本、运行轨迹、评分、修复版本和复测结果，可以形成持续使用的发布前测试基线。</w:t>
      </w:r>
    </w:p>
    <w:bookmarkEnd w:id="26"/>
    <w:bookmarkEnd w:id="27"/>
    <w:bookmarkStart w:id="31" w:name="X6da32c0271e6f7725a64038f66b61f0ccf478cb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7. </w:t>
      </w:r>
      <w:r>
        <w:rPr>
          <w:rFonts w:hint="eastAsia" w:ascii="Arial Unicode MS" w:hAnsi="Arial Unicode MS" w:eastAsia="Arial Unicode MS"/>
        </w:rPr>
        <w:t xml:space="preserve">建议业务指标</w:t>
      </w:r>
    </w:p>
    <w:bookmarkStart w:id="28" w:name="效率指标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效率指标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单个</w:t>
      </w:r>
      <w:r>
        <w:rPr>
          <w:rFonts w:ascii="Arial Unicode MS" w:hAnsi="Arial Unicode MS" w:eastAsia="Arial Unicode MS"/>
        </w:rPr>
        <w:t xml:space="preserve"> SKU </w:t>
      </w:r>
      <w:r>
        <w:rPr>
          <w:rFonts w:hint="eastAsia" w:ascii="Arial Unicode MS" w:hAnsi="Arial Unicode MS" w:eastAsia="Arial Unicode MS"/>
        </w:rPr>
        <w:t xml:space="preserve">的资料整理时间。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从导入资料到形成可审核</w:t>
      </w:r>
      <w:r>
        <w:rPr>
          <w:rFonts w:ascii="Arial Unicode MS" w:hAnsi="Arial Unicode MS" w:eastAsia="Arial Unicode MS"/>
        </w:rPr>
        <w:t xml:space="preserve"> Listing </w:t>
      </w:r>
      <w:r>
        <w:rPr>
          <w:rFonts w:hint="eastAsia" w:ascii="Arial Unicode MS" w:hAnsi="Arial Unicode MS" w:eastAsia="Arial Unicode MS"/>
        </w:rPr>
        <w:t xml:space="preserve">的时间。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每个问题的平均定位和修复时间。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同一商品适配多个平台和市场的重复工作量。</w:t>
      </w:r>
    </w:p>
    <w:bookmarkEnd w:id="28"/>
    <w:bookmarkStart w:id="29" w:name="质量指标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质量指标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有可信来源的</w:t>
      </w:r>
      <w:r>
        <w:rPr>
          <w:rFonts w:ascii="Arial Unicode MS" w:hAnsi="Arial Unicode MS" w:eastAsia="Arial Unicode MS"/>
        </w:rPr>
        <w:t xml:space="preserve"> Listing </w:t>
      </w:r>
      <w:r>
        <w:rPr>
          <w:rFonts w:hint="eastAsia" w:ascii="Arial Unicode MS" w:hAnsi="Arial Unicode MS" w:eastAsia="Arial Unicode MS"/>
        </w:rPr>
        <w:t xml:space="preserve">卖点比例。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首次平台检查通过率。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红队测试发现的问题数和严重程度。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修复后同任务通过率。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发布后因内容、事实或商业状态问题产生的返工次数。</w:t>
      </w:r>
    </w:p>
    <w:bookmarkEnd w:id="29"/>
    <w:bookmarkStart w:id="30" w:name="系统指标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系统指标</w:t>
      </w:r>
    </w:p>
    <w:p>
      <w:pPr>
        <w:pStyle w:val="Compact"/>
        <w:numPr>
          <w:ilvl w:val="0"/>
          <w:numId w:val="1005"/>
        </w:numPr>
      </w:pPr>
      <w:r>
        <w:rPr>
          <w:rFonts w:ascii="Arial Unicode MS" w:hAnsi="Arial Unicode MS" w:eastAsia="Arial Unicode MS"/>
        </w:rPr>
        <w:t xml:space="preserve">Product Passport </w:t>
      </w:r>
      <w:r>
        <w:rPr>
          <w:rFonts w:hint="eastAsia" w:ascii="Arial Unicode MS" w:hAnsi="Arial Unicode MS" w:eastAsia="Arial Unicode MS"/>
        </w:rPr>
        <w:t xml:space="preserve">结构校验通过率。</w:t>
      </w:r>
    </w:p>
    <w:p>
      <w:pPr>
        <w:pStyle w:val="Compact"/>
        <w:numPr>
          <w:ilvl w:val="0"/>
          <w:numId w:val="1005"/>
        </w:numPr>
      </w:pPr>
      <w:r>
        <w:rPr>
          <w:rFonts w:ascii="Arial Unicode MS" w:hAnsi="Arial Unicode MS" w:eastAsia="Arial Unicode MS"/>
        </w:rPr>
        <w:t xml:space="preserve">Qwen </w:t>
      </w:r>
      <w:r>
        <w:rPr>
          <w:rFonts w:hint="eastAsia" w:ascii="Arial Unicode MS" w:hAnsi="Arial Unicode MS" w:eastAsia="Arial Unicode MS"/>
        </w:rPr>
        <w:t xml:space="preserve">调用成功率、平均时延和单</w:t>
      </w:r>
      <w:r>
        <w:rPr>
          <w:rFonts w:ascii="Arial Unicode MS" w:hAnsi="Arial Unicode MS" w:eastAsia="Arial Unicode MS"/>
        </w:rPr>
        <w:t xml:space="preserve"> SKU </w:t>
      </w:r>
      <w:r>
        <w:rPr>
          <w:rFonts w:hint="eastAsia" w:ascii="Arial Unicode MS" w:hAnsi="Arial Unicode MS" w:eastAsia="Arial Unicode MS"/>
        </w:rPr>
        <w:t xml:space="preserve">成本。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商业</w:t>
      </w:r>
      <w:r>
        <w:rPr>
          <w:rFonts w:ascii="Arial Unicode MS" w:hAnsi="Arial Unicode MS" w:eastAsia="Arial Unicode MS"/>
        </w:rPr>
        <w:t xml:space="preserve"> API </w:t>
      </w:r>
      <w:r>
        <w:rPr>
          <w:rFonts w:hint="eastAsia" w:ascii="Arial Unicode MS" w:hAnsi="Arial Unicode MS" w:eastAsia="Arial Unicode MS"/>
        </w:rPr>
        <w:t xml:space="preserve">状态核对成功率。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人工确认前被系统阻止的高风险操作数。</w:t>
      </w:r>
    </w:p>
    <w:bookmarkEnd w:id="30"/>
    <w:bookmarkEnd w:id="31"/>
    <w:bookmarkStart w:id="32" w:name="Xa7e8a7146f9735c6c8370e12bc269744622a5f9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8. </w:t>
      </w:r>
      <w:r>
        <w:rPr>
          <w:rFonts w:hint="eastAsia" w:ascii="Arial Unicode MS" w:hAnsi="Arial Unicode MS" w:eastAsia="Arial Unicode MS"/>
        </w:rPr>
        <w:t xml:space="preserve">预期效果与验证方法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以下均为待真实业务验证的产品目标，不是当前已取得的经营数据：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3116"/>
        <w:gridCol w:w="6244"/>
      </w:tblGrid>
      <w:tr>
        <w:trPr>
          <w:tblHeader w:val="on"/>
          <w:tblHeader w:val="true"/>
        </w:trPr>
        <w:tc>
          <w:tcPr>
            <w:tcW w:w="311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预期效果</w:t>
            </w:r>
          </w:p>
        </w:tc>
        <w:tc>
          <w:tcPr>
            <w:tcW w:w="624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验证方法</w:t>
            </w:r>
          </w:p>
        </w:tc>
      </w:tr>
      <w:tr>
        <w:tc>
          <w:tcPr>
            <w:tcW w:w="311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缩短上新准备时间</w:t>
            </w:r>
          </w:p>
        </w:tc>
        <w:tc>
          <w:tcPr>
            <w:tcW w:w="624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选择一组真实</w:t>
            </w:r>
            <w:r>
              <w:rPr>
                <w:rFonts w:ascii="Arial Unicode MS" w:hAnsi="Arial Unicode MS" w:eastAsia="Arial Unicode MS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SKU，对比原流程和</w:t>
            </w:r>
            <w:r>
              <w:rPr>
                <w:rFonts w:ascii="Arial Unicode MS" w:hAnsi="Arial Unicode MS" w:eastAsia="Arial Unicode MS"/>
                <w:sz w:val="18"/>
              </w:rPr>
              <w:t xml:space="preserve"> AgentShelf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流程的用时</w:t>
            </w:r>
          </w:p>
        </w:tc>
      </w:tr>
      <w:tr>
        <w:tc>
          <w:tcPr>
            <w:tcW w:w="311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提高卖点可追溯性</w:t>
            </w:r>
          </w:p>
        </w:tc>
        <w:tc>
          <w:tcPr>
            <w:tcW w:w="624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统计最终</w:t>
            </w:r>
            <w:r>
              <w:rPr>
                <w:rFonts w:ascii="Arial Unicode MS" w:hAnsi="Arial Unicode MS" w:eastAsia="Arial Unicode MS"/>
                <w:sz w:val="18"/>
              </w:rPr>
              <w:t xml:space="preserve"> Listing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中有明确来源的卖点比例</w:t>
            </w:r>
          </w:p>
        </w:tc>
      </w:tr>
      <w:tr>
        <w:tc>
          <w:tcPr>
            <w:tcW w:w="311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提前发现跨境风险</w:t>
            </w:r>
          </w:p>
        </w:tc>
        <w:tc>
          <w:tcPr>
            <w:tcW w:w="624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记录发布前发现的问题类型、严重程度和后续是否避免返工</w:t>
            </w:r>
          </w:p>
        </w:tc>
      </w:tr>
      <w:tr>
        <w:tc>
          <w:tcPr>
            <w:tcW w:w="311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降低重复复测成本</w:t>
            </w:r>
          </w:p>
        </w:tc>
        <w:tc>
          <w:tcPr>
            <w:tcW w:w="624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比较人工复测与自动同任务复测的用时和一致性</w:t>
            </w:r>
          </w:p>
        </w:tc>
      </w:tr>
      <w:tr>
        <w:tc>
          <w:tcPr>
            <w:tcW w:w="311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提高</w:t>
            </w:r>
            <w:r>
              <w:rPr>
                <w:rFonts w:ascii="Arial Unicode MS" w:hAnsi="Arial Unicode MS" w:eastAsia="Arial Unicode MS"/>
                <w:sz w:val="18"/>
              </w:rPr>
              <w:t xml:space="preserve"> Agent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交易安全</w:t>
            </w:r>
          </w:p>
        </w:tc>
        <w:tc>
          <w:tcPr>
            <w:tcW w:w="624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统计注入、金额、库存、配送和事实冲突场景的阻止率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eastAsia="Arial Unicode MS"/>
        </w:rPr>
        <w:t xml:space="preserve">建议试点选择</w:t>
      </w:r>
      <w:r>
        <w:rPr>
          <w:rFonts w:ascii="Arial Unicode MS" w:hAnsi="Arial Unicode MS" w:eastAsia="Arial Unicode MS"/>
        </w:rPr>
        <w:t xml:space="preserve"> 20–50 </w:t>
      </w:r>
      <w:r>
        <w:rPr>
          <w:rFonts w:hint="eastAsia" w:ascii="Arial Unicode MS" w:hAnsi="Arial Unicode MS" w:eastAsia="Arial Unicode MS"/>
        </w:rPr>
        <w:t xml:space="preserve">个真实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SKU，覆盖两个市场和两个平台，运行</w:t>
      </w:r>
      <w:r>
        <w:rPr>
          <w:rFonts w:ascii="Arial Unicode MS" w:hAnsi="Arial Unicode MS" w:eastAsia="Arial Unicode MS"/>
        </w:rPr>
        <w:t xml:space="preserve"> 2–4 </w:t>
      </w:r>
      <w:r>
        <w:rPr>
          <w:rFonts w:hint="eastAsia" w:ascii="Arial Unicode MS" w:hAnsi="Arial Unicode MS" w:eastAsia="Arial Unicode MS"/>
        </w:rPr>
        <w:t xml:space="preserve">周。试点前确定基准流程，试点期间保存每个</w:t>
      </w:r>
      <w:r>
        <w:rPr>
          <w:rFonts w:ascii="Arial Unicode MS" w:hAnsi="Arial Unicode MS" w:eastAsia="Arial Unicode MS"/>
        </w:rPr>
        <w:t xml:space="preserve"> SKU </w:t>
      </w:r>
      <w:r>
        <w:rPr>
          <w:rFonts w:hint="eastAsia" w:ascii="Arial Unicode MS" w:hAnsi="Arial Unicode MS" w:eastAsia="Arial Unicode MS"/>
        </w:rPr>
        <w:t xml:space="preserve">的用时、问题和人工操作，才能形成可信的业务价值结论。</w:t>
      </w:r>
    </w:p>
    <w:bookmarkEnd w:id="32"/>
    <w:bookmarkStart w:id="36" w:name="X763fc6bfe9018e53eb4492e8e8efd34799f4ea2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9. </w:t>
      </w:r>
      <w:r>
        <w:rPr>
          <w:rFonts w:hint="eastAsia" w:ascii="Arial Unicode MS" w:hAnsi="Arial Unicode MS" w:eastAsia="Arial Unicode MS"/>
        </w:rPr>
        <w:t xml:space="preserve">商业化方向</w:t>
      </w:r>
    </w:p>
    <w:bookmarkStart w:id="33" w:name="面向卖家团队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面向卖家团队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按组织、SKU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数量或月度上新量订阅，提供商品资料整理、平台检查、红队测试和报告导出。</w:t>
      </w:r>
    </w:p>
    <w:bookmarkEnd w:id="33"/>
    <w:bookmarkStart w:id="34" w:name="面向电商-isv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面向电商</w:t>
      </w:r>
      <w:r>
        <w:rPr>
          <w:rFonts w:ascii="Arial Unicode MS" w:hAnsi="Arial Unicode MS" w:eastAsia="Arial Unicode MS"/>
        </w:rPr>
        <w:t xml:space="preserve"> ISV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提供</w:t>
      </w:r>
      <w:r>
        <w:rPr>
          <w:rFonts w:ascii="Arial Unicode MS" w:hAnsi="Arial Unicode MS" w:eastAsia="Arial Unicode MS"/>
        </w:rPr>
        <w:t xml:space="preserve"> API </w:t>
      </w:r>
      <w:r>
        <w:rPr>
          <w:rFonts w:hint="eastAsia" w:ascii="Arial Unicode MS" w:hAnsi="Arial Unicode MS" w:eastAsia="Arial Unicode MS"/>
        </w:rPr>
        <w:t xml:space="preserve">和嵌入式工作台，让现有</w:t>
      </w:r>
      <w:r>
        <w:rPr>
          <w:rFonts w:ascii="Arial Unicode MS" w:hAnsi="Arial Unicode MS" w:eastAsia="Arial Unicode MS"/>
        </w:rPr>
        <w:t xml:space="preserve"> PIM、ERP、Listing </w:t>
      </w:r>
      <w:r>
        <w:rPr>
          <w:rFonts w:hint="eastAsia" w:ascii="Arial Unicode MS" w:hAnsi="Arial Unicode MS" w:eastAsia="Arial Unicode MS"/>
        </w:rPr>
        <w:t xml:space="preserve">管理和发布产品增加</w:t>
      </w:r>
      <w:r>
        <w:rPr>
          <w:rFonts w:ascii="Arial Unicode MS" w:hAnsi="Arial Unicode MS" w:eastAsia="Arial Unicode MS"/>
        </w:rPr>
        <w:t xml:space="preserve"> Product </w:t>
      </w:r>
      <w:r>
        <w:rPr>
          <w:rFonts w:hint="eastAsia" w:ascii="Arial Unicode MS" w:hAnsi="Arial Unicode MS" w:eastAsia="Arial Unicode MS"/>
        </w:rPr>
        <w:t xml:space="preserve">Passport、规则检查和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测试能力。</w:t>
      </w:r>
    </w:p>
    <w:bookmarkEnd w:id="34"/>
    <w:bookmarkStart w:id="35" w:name="面向平台和生态治理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面向平台和生态治理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提供规则包、风险任务库和发布前质量报告，帮助平台或服务商建立面向购物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的商品质量基线。</w:t>
      </w:r>
    </w:p>
    <w:p>
      <w:pPr>
        <w:pStyle w:val="BodyText"/>
      </w:pPr>
      <w:r>
        <w:rPr>
          <w:rFonts w:hint="eastAsia" w:ascii="Arial Unicode MS" w:hAnsi="Arial Unicode MS" w:eastAsia="Arial Unicode MS"/>
        </w:rPr>
        <w:t xml:space="preserve">商业模式需要在真实试点中验证。比赛阶段的重点是证明问题成立、流程可运行、技术边界可信，而不是提前承诺收入规模。</w:t>
      </w:r>
    </w:p>
    <w:bookmarkEnd w:id="35"/>
    <w:bookmarkEnd w:id="36"/>
    <w:bookmarkStart w:id="40" w:name="X02063c18f4473d2ee72aefd1d51d71be0afe397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10. </w:t>
      </w:r>
      <w:r>
        <w:rPr>
          <w:rFonts w:hint="eastAsia" w:ascii="Arial Unicode MS" w:hAnsi="Arial Unicode MS" w:eastAsia="Arial Unicode MS"/>
        </w:rPr>
        <w:t xml:space="preserve">产品路线</w:t>
      </w:r>
    </w:p>
    <w:bookmarkStart w:id="37" w:name="当前可运行比赛原型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当前：可运行比赛原型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/>
        </w:rPr>
        <w:t xml:space="preserve">完整前端工作台。</w:t>
      </w:r>
    </w:p>
    <w:p>
      <w:pPr>
        <w:pStyle w:val="Compact"/>
        <w:numPr>
          <w:ilvl w:val="0"/>
          <w:numId w:val="1006"/>
        </w:numPr>
      </w:pPr>
      <w:r>
        <w:rPr>
          <w:rFonts w:ascii="Arial Unicode MS" w:hAnsi="Arial Unicode MS" w:eastAsia="Arial Unicode MS"/>
        </w:rPr>
        <w:t xml:space="preserve">Qwen </w:t>
      </w:r>
      <w:r>
        <w:rPr>
          <w:rFonts w:hint="eastAsia" w:ascii="Arial Unicode MS" w:hAnsi="Arial Unicode MS" w:eastAsia="Arial Unicode MS"/>
        </w:rPr>
        <w:t xml:space="preserve">与固定规则协作。</w:t>
      </w:r>
    </w:p>
    <w:p>
      <w:pPr>
        <w:pStyle w:val="Compact"/>
        <w:numPr>
          <w:ilvl w:val="0"/>
          <w:numId w:val="1006"/>
        </w:numPr>
      </w:pPr>
      <w:r>
        <w:rPr>
          <w:rFonts w:ascii="Arial Unicode MS" w:hAnsi="Arial Unicode MS" w:eastAsia="Arial Unicode MS"/>
        </w:rPr>
        <w:t xml:space="preserve">30 </w:t>
      </w:r>
      <w:r>
        <w:rPr>
          <w:rFonts w:hint="eastAsia" w:ascii="Arial Unicode MS" w:hAnsi="Arial Unicode MS" w:eastAsia="Arial Unicode MS"/>
        </w:rPr>
        <w:t xml:space="preserve">个任务、12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个故障、5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个商业沙箱</w:t>
      </w:r>
      <w:r>
        <w:rPr>
          <w:rFonts w:ascii="Arial Unicode MS" w:hAnsi="Arial Unicode MS" w:eastAsia="Arial Unicode MS"/>
        </w:rPr>
        <w:t xml:space="preserve"> API。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/>
        </w:rPr>
        <w:t xml:space="preserve">修复复测、人工确认和文件导出。</w:t>
      </w:r>
    </w:p>
    <w:bookmarkEnd w:id="37"/>
    <w:bookmarkStart w:id="38" w:name="下一步小规模卖家试点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下一步：小规模卖家试点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真实商品资料和平台规则导入。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账号、组织、权限和持久化。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一个平台测试环境连接器。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业务和模型指标面板。</w:t>
      </w:r>
    </w:p>
    <w:bookmarkEnd w:id="38"/>
    <w:bookmarkStart w:id="39" w:name="后续生产级服务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后续：生产级服务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 Unicode MS" w:hAnsi="Arial Unicode MS" w:eastAsia="Arial Unicode MS"/>
        </w:rPr>
        <w:t xml:space="preserve">多租户和完整审计。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 Unicode MS" w:hAnsi="Arial Unicode MS" w:eastAsia="Arial Unicode MS"/>
        </w:rPr>
        <w:t xml:space="preserve">更多品类、平台、市场和语言。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 Unicode MS" w:hAnsi="Arial Unicode MS" w:eastAsia="Arial Unicode MS"/>
        </w:rPr>
        <w:t xml:space="preserve">规则版本中心和平台连接器市场。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 Unicode MS" w:hAnsi="Arial Unicode MS" w:eastAsia="Arial Unicode MS"/>
        </w:rPr>
        <w:t xml:space="preserve">与卖家</w:t>
      </w:r>
      <w:r>
        <w:rPr>
          <w:rFonts w:ascii="Arial Unicode MS" w:hAnsi="Arial Unicode MS" w:eastAsia="Arial Unicode MS"/>
        </w:rPr>
        <w:t xml:space="preserve"> PIM、ERP </w:t>
      </w:r>
      <w:r>
        <w:rPr>
          <w:rFonts w:hint="eastAsia" w:ascii="Arial Unicode MS" w:hAnsi="Arial Unicode MS" w:eastAsia="Arial Unicode MS"/>
        </w:rPr>
        <w:t xml:space="preserve">和发布系统双向同步。</w:t>
      </w:r>
    </w:p>
    <w:bookmarkEnd w:id="39"/>
    <w:bookmarkEnd w:id="40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Arial Unicode MS" w:eastAsia="Arial Unicode MS" w:hAnsi="Arial Unicode MS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Arial Unicode MS" w:asciiTheme="majorHAnsi" w:cstheme="majorBidi" w:eastAsia="Arial Unicode MS" w:eastAsiaTheme="majorEastAsia" w:hAnsi="Arial Unicode MS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Arial Unicode MS" w:asciiTheme="majorHAnsi" w:cstheme="majorBidi" w:eastAsia="Arial Unicode MS" w:eastAsiaTheme="majorEastAsia" w:hAnsi="Arial Unicode MS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Arial Unicode MS" w:eastAsia="Arial Unicode MS" w:hAnsi="Arial Unicode MS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Arial Unicode MS" w:eastAsia="Arial Unicode MS" w:hAnsi="Arial Unicode MS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03_业务价值与产品说明</dc:title>
  <dc:creator>AgentShelf 参赛团队</dc:creator>
  <cp:keywords>AI 智能上新, Agent, Product Passport, Listing, 红队测试</cp:keywords>
  <dcterms:created xsi:type="dcterms:W3CDTF">2026-08-22T05:49:55Z</dcterms:created>
  <dcterms:modified xsi:type="dcterms:W3CDTF">2026-08-22T05:49:55Z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