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F2A37"/>
          <w:sz w:val="56"/>
          <w:szCs w:val="56"/>
        </w:rPr>
        <w:t xml:space="preserve">Genesys Admin Tool</w:t>
      </w:r>
    </w:p>
    <w:p>
      <w:pPr>
        <w:spacing w:after="600"/>
      </w:pPr>
      <w:r>
        <w:rPr>
          <w:rFonts w:ascii="Calibri" w:cs="Calibri" w:eastAsia="Calibri" w:hAnsi="Calibri"/>
          <w:color w:val="5B6B7B"/>
          <w:sz w:val="32"/>
          <w:szCs w:val="32"/>
        </w:rPr>
        <w:t xml:space="preserve">Acceptance test cases</w:t>
      </w:r>
    </w:p>
    <w:p>
      <w:pPr>
        <w:spacing w:after="100"/>
      </w:pPr>
      <w:r>
        <w:rPr>
          <w:rFonts w:ascii="Calibri" w:cs="Calibri" w:eastAsia="Calibri" w:hAnsi="Calibri"/>
          <w:color w:val="1F2A37"/>
          <w:sz w:val="20"/>
          <w:szCs w:val="20"/>
        </w:rPr>
        <w:t xml:space="preserve">Every function in the app, in the context it is used from: the internal Demo org, a real customer org, and the Test IE customer simulation.</w:t>
      </w:r>
    </w:p>
    <w:p>
      <w:pPr>
        <w:spacing w:after="100"/>
      </w:pPr>
      <w:r>
        <w:rPr>
          <w:rFonts w:ascii="Calibri" w:cs="Calibri" w:eastAsia="Calibri" w:hAnsi="Calibri"/>
          <w:color w:val="5B6B7B"/>
          <w:sz w:val="20"/>
          <w:szCs w:val="20"/>
        </w:rPr>
        <w:t xml:space="preserve">Fill in Result and Notes on every case. A failed or blocked case must have a note saying what happened. Return the completed document for review.</w:t>
      </w:r>
    </w:p>
    <w:p>
      <w:pPr>
        <w:spacing w:before="400"/>
      </w:pPr>
      <w:r>
        <w:rPr>
          <w:rFonts w:ascii="Calibri" w:cs="Calibri" w:eastAsia="Calibri" w:hAnsi="Calibri"/>
          <w:color w:val="5B6B7B"/>
          <w:sz w:val="18"/>
          <w:szCs w:val="18"/>
        </w:rPr>
        <w:t xml:space="preserve">Prepared 14 September 2026</w:t>
      </w:r>
    </w:p>
    <w:p>
      <w:r>
        <w:br w:type="page"/>
      </w:r>
    </w:p>
    <w:p>
      <w:pPr>
        <w:pStyle w:val="Heading1"/>
        <w:spacing w:after="120" w:before="360"/>
      </w:pPr>
      <w:r>
        <w:t xml:space="preserve">How to use this document</w:t>
      </w:r>
    </w:p>
    <w:p>
      <w:pPr>
        <w:spacing w:after="100"/>
      </w:pPr>
      <w:r>
        <w:rPr>
          <w:rFonts w:ascii="Calibri" w:cs="Calibri" w:eastAsia="Calibri" w:hAnsi="Calibri"/>
          <w:color w:val="1F2A37"/>
          <w:sz w:val="20"/>
          <w:szCs w:val="20"/>
        </w:rPr>
        <w:t xml:space="preserve">Three sections, three sign-ins. Do them in the order printed: Section A.1 names the test users, and nothing in Section C opens until that is done.</w:t>
      </w:r>
    </w:p>
    <w:p>
      <w:pPr>
        <w:pStyle w:val="ListParagraph"/>
        <w:numPr>
          <w:ilvl w:val="0"/>
          <w:numId w:val="2"/>
        </w:numPr>
        <w:spacing w:after="40"/>
      </w:pPr>
      <w:r>
        <w:rPr>
          <w:rFonts w:ascii="Calibri" w:cs="Calibri" w:eastAsia="Calibri" w:hAnsi="Calibri"/>
          <w:color w:val="1F2A37"/>
          <w:sz w:val="20"/>
          <w:szCs w:val="20"/>
        </w:rPr>
        <w:t xml:space="preserve">Section A — signed in to Genesys as a Demo org user (Master Admin). Internal-only functions, dashboards, the admin side of billing.</w:t>
      </w:r>
    </w:p>
    <w:p>
      <w:pPr>
        <w:pStyle w:val="ListParagraph"/>
        <w:numPr>
          <w:ilvl w:val="0"/>
          <w:numId w:val="2"/>
        </w:numPr>
        <w:spacing w:after="40"/>
      </w:pPr>
      <w:r>
        <w:rPr>
          <w:rFonts w:ascii="Calibri" w:cs="Calibri" w:eastAsia="Calibri" w:hAnsi="Calibri"/>
          <w:color w:val="1F2A37"/>
          <w:sz w:val="20"/>
          <w:szCs w:val="20"/>
        </w:rPr>
        <w:t xml:space="preserve">Section B — signed in as a user of a real customer org that is a trustor of Netdesign DE. Billing only, with real figures.</w:t>
      </w:r>
    </w:p>
    <w:p>
      <w:pPr>
        <w:pStyle w:val="ListParagraph"/>
        <w:numPr>
          <w:ilvl w:val="0"/>
          <w:numId w:val="2"/>
        </w:numPr>
        <w:spacing w:after="40"/>
      </w:pPr>
      <w:r>
        <w:rPr>
          <w:rFonts w:ascii="Calibri" w:cs="Calibri" w:eastAsia="Calibri" w:hAnsi="Calibri"/>
          <w:color w:val="1F2A37"/>
          <w:sz w:val="20"/>
          <w:szCs w:val="20"/>
        </w:rPr>
        <w:t xml:space="preserve">Section C — signed in as a Test IE user. Everything a paying customer would see. Billing here is simulated and says so; the Admin Tool count is real.</w:t>
      </w:r>
    </w:p>
    <w:p>
      <w:pPr>
        <w:spacing w:after="100"/>
      </w:pPr>
      <w:r>
        <w:rPr>
          <w:rFonts w:ascii="Calibri" w:cs="Calibri" w:eastAsia="Calibri" w:hAnsi="Calibri"/>
          <w:color w:val="1F2A37"/>
          <w:sz w:val="20"/>
          <w:szCs w:val="20"/>
        </w:rPr>
        <w:t xml:space="preserve">Each case has Steps, Expected, a Result (tick one) and a Notes box. Tick Pass only when every line under Expected held. Tick Blocked when a prerequisite (a permission, a test user, an org) was missing — and say which. Write what you actually saw in Notes whenever it differs from Expected, even for a Pass.</w:t>
      </w:r>
    </w:p>
    <w:p>
      <w:pPr>
        <w:spacing w:after="100"/>
      </w:pPr>
      <w:r>
        <w:rPr>
          <w:rFonts w:ascii="Calibri" w:cs="Calibri" w:eastAsia="Calibri" w:hAnsi="Calibri"/>
          <w:color w:val="1F2A37"/>
          <w:sz w:val="20"/>
          <w:szCs w:val="20"/>
        </w:rPr>
        <w:t xml:space="preserve">Where a case needs a second user with a narrower Genesys role, it says so. Where it needs a Master Admin to do something on the Demo side while you are testing as a customer, it says so.</w:t>
      </w:r>
    </w:p>
    <w:p>
      <w:pPr>
        <w:pStyle w:val="Heading2"/>
        <w:spacing w:after="120" w:before="2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t xml:space="preserve">A — From the Demo org (internal)</w:t>
      </w:r>
    </w:p>
    <w:p>
      <w:pPr>
        <w:spacing w:after="100"/>
      </w:pPr>
      <w:r>
        <w:rPr>
          <w:rFonts w:ascii="Calibri" w:cs="Calibri" w:eastAsia="Calibri" w:hAnsi="Calibri"/>
          <w:color w:val="1F2A37"/>
          <w:sz w:val="20"/>
          <w:szCs w:val="20"/>
        </w:rPr>
        <w:t xml:space="preserve">Sign in to Genesys as a Demo org user who is a member of "Genesys App - Master Admin", and open the Admin Tool from the Apps menu.</w:t>
      </w:r>
    </w:p>
    <w:p>
      <w:pPr>
        <w:spacing w:after="100"/>
      </w:pPr>
      <w:r>
        <w:rPr>
          <w:rFonts w:ascii="Calibri" w:cs="Calibri" w:eastAsia="Calibri" w:hAnsi="Calibri"/>
          <w:color w:val="1F2A37"/>
          <w:sz w:val="20"/>
          <w:szCs w:val="20"/>
        </w:rPr>
        <w:t xml:space="preserve">Section A.1 must be completed first: nothing in Section C can begin until the test users have been named on Customers › Access to Admin Tool.</w:t>
      </w:r>
    </w:p>
    <w:p>
      <w:pPr>
        <w:spacing w:after="100"/>
      </w:pPr>
      <w:r>
        <w:rPr>
          <w:rFonts w:ascii="Calibri" w:cs="Calibri" w:eastAsia="Calibri" w:hAnsi="Calibri"/>
          <w:color w:val="1F2A37"/>
          <w:sz w:val="20"/>
          <w:szCs w:val="20"/>
        </w:rPr>
        <w:t xml:space="preserve">Where a case says "select the org in the header", use the customer dropdown at the top of the app. Test IE is the customer simulation org; a real customer (a trustor of Netdesign DE) is needed only where stated.</w:t>
      </w:r>
    </w:p>
    <w:p>
      <w:pPr>
        <w:pStyle w:val="Heading2"/>
        <w:spacing w:after="120" w:before="240"/>
      </w:pPr>
      <w:r>
        <w:t xml:space="preserve">A.1 — Sign-in and the named-user list (do this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A.1.1  </w:t>
            </w:r>
            <w:r>
              <w:rPr>
                <w:rFonts w:ascii="Calibri" w:cs="Calibri" w:eastAsia="Calibri" w:hAnsi="Calibri"/>
                <w:b/>
                <w:bCs/>
                <w:color w:val="1F2A37"/>
                <w:sz w:val="22"/>
                <w:szCs w:val="22"/>
              </w:rPr>
              <w:t xml:space="preserve">Internal sign-in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the Admin Tool from the Demo org's Apps menu.</w:t>
            </w:r>
          </w:p>
          <w:p>
            <w:pPr>
              <w:pStyle w:val="ListParagraph"/>
              <w:numPr>
                <w:ilvl w:val="0"/>
                <w:numId w:val="3"/>
              </w:numPr>
              <w:spacing w:after="40"/>
            </w:pPr>
            <w:r>
              <w:rPr>
                <w:rFonts w:ascii="Calibri" w:cs="Calibri" w:eastAsia="Calibri" w:hAnsi="Calibri"/>
                <w:color w:val="1F2A37"/>
                <w:sz w:val="20"/>
                <w:szCs w:val="20"/>
              </w:rPr>
              <w:t xml:space="preserve">Sign in with your Demo account when prompted.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app opens in internal mode: the customer dropdown in the header is populated and unlocked.</w:t>
            </w:r>
          </w:p>
          <w:p>
            <w:pPr>
              <w:pStyle w:val="ListParagraph"/>
              <w:numPr>
                <w:ilvl w:val="0"/>
                <w:numId w:val="2"/>
              </w:numPr>
              <w:spacing w:after="40"/>
            </w:pPr>
            <w:r>
              <w:rPr>
                <w:rFonts w:ascii="Calibri" w:cs="Calibri" w:eastAsia="Calibri" w:hAnsi="Calibri"/>
                <w:color w:val="1F2A37"/>
                <w:sz w:val="20"/>
                <w:szCs w:val="20"/>
              </w:rPr>
              <w:t xml:space="preserve">The left menu shows every section, including Customers, Deployment and Utilities.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A.1.2  </w:t>
            </w:r>
            <w:r>
              <w:rPr>
                <w:rFonts w:ascii="Calibri" w:cs="Calibri" w:eastAsia="Calibri" w:hAnsi="Calibri"/>
                <w:b/>
                <w:bCs/>
                <w:color w:val="1F2A37"/>
                <w:sz w:val="22"/>
                <w:szCs w:val="22"/>
              </w:rPr>
              <w:t xml:space="preserve">Access to Admin Tool — refuses the internal org</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Demo in the header.</w:t>
            </w:r>
          </w:p>
          <w:p>
            <w:pPr>
              <w:pStyle w:val="ListParagraph"/>
              <w:numPr>
                <w:ilvl w:val="0"/>
                <w:numId w:val="3"/>
              </w:numPr>
              <w:spacing w:after="40"/>
            </w:pPr>
            <w:r>
              <w:rPr>
                <w:rFonts w:ascii="Calibri" w:cs="Calibri" w:eastAsia="Calibri" w:hAnsi="Calibri"/>
                <w:color w:val="1F2A37"/>
                <w:sz w:val="20"/>
                <w:szCs w:val="20"/>
              </w:rPr>
              <w:t xml:space="preserve">Open Customers › Access to Admin Tool.</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No search box. The page says Demo is the internal organisation and its users are granted by group, not by licence.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A.1.3  </w:t>
            </w:r>
            <w:r>
              <w:rPr>
                <w:rFonts w:ascii="Calibri" w:cs="Calibri" w:eastAsia="Calibri" w:hAnsi="Calibri"/>
                <w:b/>
                <w:bCs/>
                <w:color w:val="1F2A37"/>
                <w:sz w:val="22"/>
                <w:szCs w:val="22"/>
              </w:rPr>
              <w:t xml:space="preserve">Access to Admin Tool — refuses an org with no registry entry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any customer that is not yet onboarded as a customer (e.g. Nykredit).</w:t>
            </w:r>
          </w:p>
          <w:p>
            <w:pPr>
              <w:pStyle w:val="ListParagraph"/>
              <w:numPr>
                <w:ilvl w:val="0"/>
                <w:numId w:val="3"/>
              </w:numPr>
              <w:spacing w:after="40"/>
            </w:pPr>
            <w:r>
              <w:rPr>
                <w:rFonts w:ascii="Calibri" w:cs="Calibri" w:eastAsia="Calibri" w:hAnsi="Calibri"/>
                <w:color w:val="1F2A37"/>
                <w:sz w:val="20"/>
                <w:szCs w:val="20"/>
              </w:rPr>
              <w:t xml:space="preserve">Open Customers › Access to Admin Tool.</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No search box. The page says the organisation is not set up as a customer yet and to add the registry entry first.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A.1.4  </w:t>
            </w:r>
            <w:r>
              <w:rPr>
                <w:rFonts w:ascii="Calibri" w:cs="Calibri" w:eastAsia="Calibri" w:hAnsi="Calibri"/>
                <w:b/>
                <w:bCs/>
                <w:color w:val="1F2A37"/>
                <w:sz w:val="22"/>
                <w:szCs w:val="22"/>
              </w:rPr>
              <w:t xml:space="preserve">Name the test users on Test IE (gating case for Section C)</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Test IE in the header and open Customers › Access to Admin Tool.</w:t>
            </w:r>
          </w:p>
          <w:p>
            <w:pPr>
              <w:pStyle w:val="ListParagraph"/>
              <w:numPr>
                <w:ilvl w:val="0"/>
                <w:numId w:val="3"/>
              </w:numPr>
              <w:spacing w:after="40"/>
            </w:pPr>
            <w:r>
              <w:rPr>
                <w:rFonts w:ascii="Calibri" w:cs="Calibri" w:eastAsia="Calibri" w:hAnsi="Calibri"/>
                <w:color w:val="1F2A37"/>
                <w:sz w:val="20"/>
                <w:szCs w:val="20"/>
              </w:rPr>
              <w:t xml:space="preserve">Type part of your own Test IE user's name; tick it in the dropdown. Search again for the second tester's Test IE user; tick it.</w:t>
            </w:r>
          </w:p>
          <w:p>
            <w:pPr>
              <w:pStyle w:val="ListParagraph"/>
              <w:numPr>
                <w:ilvl w:val="0"/>
                <w:numId w:val="3"/>
              </w:numPr>
              <w:spacing w:after="40"/>
            </w:pPr>
            <w:r>
              <w:rPr>
                <w:rFonts w:ascii="Calibri" w:cs="Calibri" w:eastAsia="Calibri" w:hAnsi="Calibri"/>
                <w:color w:val="1F2A37"/>
                <w:sz w:val="20"/>
                <w:szCs w:val="20"/>
              </w:rPr>
              <w:t xml:space="preserve">Confirm both appear as chips under the search box and the button reads "Add 2 users".</w:t>
            </w:r>
          </w:p>
          <w:p>
            <w:pPr>
              <w:pStyle w:val="ListParagraph"/>
              <w:numPr>
                <w:ilvl w:val="0"/>
                <w:numId w:val="3"/>
              </w:numPr>
              <w:spacing w:after="40"/>
            </w:pPr>
            <w:r>
              <w:rPr>
                <w:rFonts w:ascii="Calibri" w:cs="Calibri" w:eastAsia="Calibri" w:hAnsi="Calibri"/>
                <w:color w:val="1F2A37"/>
                <w:sz w:val="20"/>
                <w:szCs w:val="20"/>
              </w:rPr>
              <w:t xml:space="preserve">Click Add 2 users. Read the confirmation — it must list both users by name and e-mail — and click OK.</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Both users appear in "Users with access" with Added by = you and today's date. The count reads "2 users have access".</w:t>
            </w:r>
          </w:p>
          <w:p>
            <w:pPr>
              <w:pStyle w:val="ListParagraph"/>
              <w:numPr>
                <w:ilvl w:val="0"/>
                <w:numId w:val="2"/>
              </w:numPr>
              <w:spacing w:after="40"/>
            </w:pPr>
            <w:r>
              <w:rPr>
                <w:rFonts w:ascii="Calibri" w:cs="Calibri" w:eastAsia="Calibri" w:hAnsi="Calibri"/>
                <w:color w:val="1F2A37"/>
                <w:sz w:val="20"/>
                <w:szCs w:val="20"/>
              </w:rPr>
              <w:t xml:space="preserve">Activity Log shows two licenses.assign entries with your identity.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A.1.5  </w:t>
            </w:r>
            <w:r>
              <w:rPr>
                <w:rFonts w:ascii="Calibri" w:cs="Calibri" w:eastAsia="Calibri" w:hAnsi="Calibri"/>
                <w:b/>
                <w:bCs/>
                <w:color w:val="1F2A37"/>
                <w:sz w:val="22"/>
                <w:szCs w:val="22"/>
              </w:rPr>
              <w:t xml:space="preserve">Already-named users cannot be added twice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Search for one of the users you just added.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dropdown row is greyed with the tag "Has access" and cannot be ticked.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A.1.6  </w:t>
            </w:r>
            <w:r>
              <w:rPr>
                <w:rFonts w:ascii="Calibri" w:cs="Calibri" w:eastAsia="Calibri" w:hAnsi="Calibri"/>
                <w:b/>
                <w:bCs/>
                <w:color w:val="1F2A37"/>
                <w:sz w:val="22"/>
                <w:szCs w:val="22"/>
              </w:rPr>
              <w:t xml:space="preserve">Remove and re-add a named user</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Click Remove on the second tester's row; read the confirmation (it says they are signed out within five minutes) and click OK.</w:t>
            </w:r>
          </w:p>
          <w:p>
            <w:pPr>
              <w:pStyle w:val="ListParagraph"/>
              <w:numPr>
                <w:ilvl w:val="0"/>
                <w:numId w:val="3"/>
              </w:numPr>
              <w:spacing w:after="40"/>
            </w:pPr>
            <w:r>
              <w:rPr>
                <w:rFonts w:ascii="Calibri" w:cs="Calibri" w:eastAsia="Calibri" w:hAnsi="Calibri"/>
                <w:color w:val="1F2A37"/>
                <w:sz w:val="20"/>
                <w:szCs w:val="20"/>
              </w:rPr>
              <w:t xml:space="preserve">Add them again via search → tick → Add 1 user → OK.</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After Remove the row disappears and the count drops to 1. After re-adding, they are back with a fresh Added on date.</w:t>
            </w:r>
          </w:p>
          <w:p>
            <w:pPr>
              <w:pStyle w:val="ListParagraph"/>
              <w:numPr>
                <w:ilvl w:val="0"/>
                <w:numId w:val="2"/>
              </w:numPr>
              <w:spacing w:after="40"/>
            </w:pPr>
            <w:r>
              <w:rPr>
                <w:rFonts w:ascii="Calibri" w:cs="Calibri" w:eastAsia="Calibri" w:hAnsi="Calibri"/>
                <w:color w:val="1F2A37"/>
                <w:sz w:val="20"/>
                <w:szCs w:val="20"/>
              </w:rPr>
              <w:t xml:space="preserve">Activity Log shows a licenses.revoke and a new licenses.assign.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A.1.7  </w:t>
            </w:r>
            <w:r>
              <w:rPr>
                <w:rFonts w:ascii="Calibri" w:cs="Calibri" w:eastAsia="Calibri" w:hAnsi="Calibri"/>
                <w:b/>
                <w:bCs/>
                <w:color w:val="1F2A37"/>
                <w:sz w:val="22"/>
                <w:szCs w:val="22"/>
              </w:rPr>
              <w:t xml:space="preserve">Access to Admin Tool is Master Admin only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Ask a Demo user who is NOT in "Genesys App - Master Admin" (e.g. a member of Genesys App - Admin only) to sign in.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Customers section is not in their menu. If they open the URL directly, adding a user fails with a message naming the required group.</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p>
      <w:pPr>
        <w:pStyle w:val="Heading2"/>
        <w:spacing w:after="120" w:before="240"/>
      </w:pPr>
      <w:r>
        <w:t xml:space="preserve">A.2 — Internal-only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A.2.1  </w:t>
            </w:r>
            <w:r>
              <w:rPr>
                <w:rFonts w:ascii="Calibri" w:cs="Calibri" w:eastAsia="Calibri" w:hAnsi="Calibri"/>
                <w:b/>
                <w:bCs/>
                <w:color w:val="1F2A37"/>
                <w:sz w:val="22"/>
                <w:szCs w:val="22"/>
              </w:rPr>
              <w:t xml:space="preserve">Data Actions › Copy - Between Orgs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Data Actions › Copy - Between Orgs.</w:t>
            </w:r>
          </w:p>
          <w:p>
            <w:pPr>
              <w:pStyle w:val="ListParagraph"/>
              <w:numPr>
                <w:ilvl w:val="0"/>
                <w:numId w:val="3"/>
              </w:numPr>
              <w:spacing w:after="40"/>
            </w:pPr>
            <w:r>
              <w:rPr>
                <w:rFonts w:ascii="Calibri" w:cs="Calibri" w:eastAsia="Calibri" w:hAnsi="Calibri"/>
                <w:color w:val="1F2A37"/>
                <w:sz w:val="20"/>
                <w:szCs w:val="20"/>
              </w:rPr>
              <w:t xml:space="preserve">Pick a source org and a data action, pick a target org, review the contract/config shown, and copy.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action exists in the target org with the same contract and config. The result panel reports success; Activity Log has an entry.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A.2.2  </w:t>
            </w:r>
            <w:r>
              <w:rPr>
                <w:rFonts w:ascii="Calibri" w:cs="Calibri" w:eastAsia="Calibri" w:hAnsi="Calibri"/>
                <w:b/>
                <w:bCs/>
                <w:color w:val="1F2A37"/>
                <w:sz w:val="22"/>
                <w:szCs w:val="22"/>
              </w:rPr>
              <w:t xml:space="preserve">Data Tables › Copy - Between Orgs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Data Tables › Copy - Between Orgs.</w:t>
            </w:r>
          </w:p>
          <w:p>
            <w:pPr>
              <w:pStyle w:val="ListParagraph"/>
              <w:numPr>
                <w:ilvl w:val="0"/>
                <w:numId w:val="3"/>
              </w:numPr>
              <w:spacing w:after="40"/>
            </w:pPr>
            <w:r>
              <w:rPr>
                <w:rFonts w:ascii="Calibri" w:cs="Calibri" w:eastAsia="Calibri" w:hAnsi="Calibri"/>
                <w:color w:val="1F2A37"/>
                <w:sz w:val="20"/>
                <w:szCs w:val="20"/>
              </w:rPr>
              <w:t xml:space="preserve">Pick a source org and table, a target org, choose whether to copy rows, and copy.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table (and rows, if chosen) exists in the target org with the same schema.</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A.2.3  </w:t>
            </w:r>
            <w:r>
              <w:rPr>
                <w:rFonts w:ascii="Calibri" w:cs="Calibri" w:eastAsia="Calibri" w:hAnsi="Calibri"/>
                <w:b/>
                <w:bCs/>
                <w:color w:val="1F2A37"/>
                <w:sz w:val="22"/>
                <w:szCs w:val="22"/>
              </w:rPr>
              <w:t xml:space="preserve">Interactions › Recordings › Create Export Job</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a customer org. Open Interactions › Recordings › Create Export Job.</w:t>
            </w:r>
          </w:p>
          <w:p>
            <w:pPr>
              <w:pStyle w:val="ListParagraph"/>
              <w:numPr>
                <w:ilvl w:val="0"/>
                <w:numId w:val="3"/>
              </w:numPr>
              <w:spacing w:after="40"/>
            </w:pPr>
            <w:r>
              <w:rPr>
                <w:rFonts w:ascii="Calibri" w:cs="Calibri" w:eastAsia="Calibri" w:hAnsi="Calibri"/>
                <w:color w:val="1F2A37"/>
                <w:sz w:val="20"/>
                <w:szCs w:val="20"/>
              </w:rPr>
              <w:t xml:space="preserve">Set a date range and any filters, and submit the job.</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job is created and appears in Export Jobs with state PENDING or READY.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A.2.4  </w:t>
            </w:r>
            <w:r>
              <w:rPr>
                <w:rFonts w:ascii="Calibri" w:cs="Calibri" w:eastAsia="Calibri" w:hAnsi="Calibri"/>
                <w:b/>
                <w:bCs/>
                <w:color w:val="1F2A37"/>
                <w:sz w:val="22"/>
                <w:szCs w:val="22"/>
              </w:rPr>
              <w:t xml:space="preserve">Interactions › Recordings › Export Jobs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Interactions › Recordings › Export Jobs for the same org.</w:t>
            </w:r>
          </w:p>
          <w:p>
            <w:pPr>
              <w:pStyle w:val="ListParagraph"/>
              <w:numPr>
                <w:ilvl w:val="0"/>
                <w:numId w:val="3"/>
              </w:numPr>
              <w:spacing w:after="40"/>
            </w:pPr>
            <w:r>
              <w:rPr>
                <w:rFonts w:ascii="Calibri" w:cs="Calibri" w:eastAsia="Calibri" w:hAnsi="Calibri"/>
                <w:color w:val="1F2A37"/>
                <w:sz w:val="20"/>
                <w:szCs w:val="20"/>
              </w:rPr>
              <w:t xml:space="preserve">Expand a job to see its filters. Execute a READY job; cancel or delete another.</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shows every job with its state. Execute moves a READY job to PROCESSING; delete removes the row.</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A.2.5  </w:t>
            </w:r>
            <w:r>
              <w:rPr>
                <w:rFonts w:ascii="Calibri" w:cs="Calibri" w:eastAsia="Calibri" w:hAnsi="Calibri"/>
                <w:b/>
                <w:bCs/>
                <w:color w:val="1F2A37"/>
                <w:sz w:val="22"/>
                <w:szCs w:val="22"/>
              </w:rPr>
              <w:t xml:space="preserve">Export › Roles › All Orgs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Export › Roles › All Orgs and run it.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An .xlsx downloads with one sheet per customer org, columns Name / Description / Members, rows sorted by name.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A.2.6  </w:t>
            </w:r>
            <w:r>
              <w:rPr>
                <w:rFonts w:ascii="Calibri" w:cs="Calibri" w:eastAsia="Calibri" w:hAnsi="Calibri"/>
                <w:b/>
                <w:bCs/>
                <w:color w:val="1F2A37"/>
                <w:sz w:val="22"/>
                <w:szCs w:val="22"/>
              </w:rPr>
              <w:t xml:space="preserve">Export › Users › Trustee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Export › Users › Trustee and run it.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An .xlsx downloads with a matrix of trustee-org users × customer orgs showing who has access where.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A.2.7  </w:t>
            </w:r>
            <w:r>
              <w:rPr>
                <w:rFonts w:ascii="Calibri" w:cs="Calibri" w:eastAsia="Calibri" w:hAnsi="Calibri"/>
                <w:b/>
                <w:bCs/>
                <w:color w:val="1F2A37"/>
                <w:sz w:val="22"/>
                <w:szCs w:val="22"/>
              </w:rPr>
              <w:t xml:space="preserve">Roles › Copy › Copy between orgs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Roles › Copy › Copy between orgs.</w:t>
            </w:r>
          </w:p>
          <w:p>
            <w:pPr>
              <w:pStyle w:val="ListParagraph"/>
              <w:numPr>
                <w:ilvl w:val="0"/>
                <w:numId w:val="3"/>
              </w:numPr>
              <w:spacing w:after="40"/>
            </w:pPr>
            <w:r>
              <w:rPr>
                <w:rFonts w:ascii="Calibri" w:cs="Calibri" w:eastAsia="Calibri" w:hAnsi="Calibri"/>
                <w:color w:val="1F2A37"/>
                <w:sz w:val="20"/>
                <w:szCs w:val="20"/>
              </w:rPr>
              <w:t xml:space="preserve">Pick a source org and role, a target org, review the permission builder, and create.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role exists in the target org with the reviewed permissions.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A.2.8  </w:t>
            </w:r>
            <w:r>
              <w:rPr>
                <w:rFonts w:ascii="Calibri" w:cs="Calibri" w:eastAsia="Calibri" w:hAnsi="Calibri"/>
                <w:b/>
                <w:bCs/>
                <w:color w:val="1F2A37"/>
                <w:sz w:val="22"/>
                <w:szCs w:val="22"/>
              </w:rPr>
              <w:t xml:space="preserve">Flows › Delete Flow</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a test org that has a disposable callflow. Open Flows › Delete Flow.</w:t>
            </w:r>
          </w:p>
          <w:p>
            <w:pPr>
              <w:pStyle w:val="ListParagraph"/>
              <w:numPr>
                <w:ilvl w:val="0"/>
                <w:numId w:val="3"/>
              </w:numPr>
              <w:spacing w:after="40"/>
            </w:pPr>
            <w:r>
              <w:rPr>
                <w:rFonts w:ascii="Calibri" w:cs="Calibri" w:eastAsia="Calibri" w:hAnsi="Calibri"/>
                <w:color w:val="1F2A37"/>
                <w:sz w:val="20"/>
                <w:szCs w:val="20"/>
              </w:rPr>
              <w:t xml:space="preserve">Pick the flow; read the dependency report; confirm the deletion.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report lists exactly what will be removed before anything happens. After confirming, the flow and the listed dependencies are gone from Architect.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A.2.9  </w:t>
            </w:r>
            <w:r>
              <w:rPr>
                <w:rFonts w:ascii="Calibri" w:cs="Calibri" w:eastAsia="Calibri" w:hAnsi="Calibri"/>
                <w:b/>
                <w:bCs/>
                <w:color w:val="1F2A37"/>
                <w:sz w:val="22"/>
                <w:szCs w:val="22"/>
              </w:rPr>
              <w:t xml:space="preserve">Deployment › Basic</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Deployment › Basic. Upload a workbook with at least one supported tab (e.g. Skills or Queues) and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Each row is created in the selected org; the result panel reports per-row success/failure.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A.2.10  </w:t>
            </w:r>
            <w:r>
              <w:rPr>
                <w:rFonts w:ascii="Calibri" w:cs="Calibri" w:eastAsia="Calibri" w:hAnsi="Calibri"/>
                <w:b/>
                <w:bCs/>
                <w:color w:val="1F2A37"/>
                <w:sz w:val="22"/>
                <w:szCs w:val="22"/>
              </w:rPr>
              <w:t xml:space="preserve">Deployment › Data Tables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Deployment › Data Tables. Upload a workbook in the Data Tables › Create format with one or more sheets and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One data table per sheet is created in the selected org.</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A.2.11  </w:t>
            </w:r>
            <w:r>
              <w:rPr>
                <w:rFonts w:ascii="Calibri" w:cs="Calibri" w:eastAsia="Calibri" w:hAnsi="Calibri"/>
                <w:b/>
                <w:bCs/>
                <w:color w:val="1F2A37"/>
                <w:sz w:val="22"/>
                <w:szCs w:val="22"/>
              </w:rPr>
              <w:t xml:space="preserve">Deployment › Onboarding (superuser only)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Deployment › Onboarding as a superuser. Select callflows from the Demo org and a target test org;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Dependencies are resolved automatically, the "Template - " prefix is stripped, and everything is published into the target org. Non-superusers do not see the page.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A.2.12  </w:t>
            </w:r>
            <w:r>
              <w:rPr>
                <w:rFonts w:ascii="Calibri" w:cs="Calibri" w:eastAsia="Calibri" w:hAnsi="Calibri"/>
                <w:b/>
                <w:bCs/>
                <w:color w:val="1F2A37"/>
                <w:sz w:val="22"/>
                <w:szCs w:val="22"/>
              </w:rPr>
              <w:t xml:space="preserve">Deployment › Test › Test Cases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Deployment › Test › Test Cases. Pick an Architect flow and generate.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An .xlsx test-case workbook for that flow downloads.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A.2.13  </w:t>
            </w:r>
            <w:r>
              <w:rPr>
                <w:rFonts w:ascii="Calibri" w:cs="Calibri" w:eastAsia="Calibri" w:hAnsi="Calibri"/>
                <w:b/>
                <w:bCs/>
                <w:color w:val="1F2A37"/>
                <w:sz w:val="22"/>
                <w:szCs w:val="22"/>
              </w:rPr>
              <w:t xml:space="preserve">Utilities › Get Lists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Utilities › Get Lists. Pick a list (e.g. wrap-up codes), filter it, export it.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renders read-only; the filter narrows it; the export downloads.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A.2.14  </w:t>
            </w:r>
            <w:r>
              <w:rPr>
                <w:rFonts w:ascii="Calibri" w:cs="Calibri" w:eastAsia="Calibri" w:hAnsi="Calibri"/>
                <w:b/>
                <w:bCs/>
                <w:color w:val="1F2A37"/>
                <w:sz w:val="22"/>
                <w:szCs w:val="22"/>
              </w:rPr>
              <w:t xml:space="preserve">Utilities › IP Ranges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Utilities › IP Ranges. Switch between Genesys Cloud and AWS.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CIDR blocks are listed for the chosen source; the region/host selector changes the Genesys list.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p>
      <w:pPr>
        <w:pStyle w:val="Heading2"/>
        <w:spacing w:after="120" w:before="240"/>
      </w:pPr>
      <w:r>
        <w:t xml:space="preserve">A.3 — Dashboards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A.3.1  </w:t>
            </w:r>
            <w:r>
              <w:rPr>
                <w:rFonts w:ascii="Calibri" w:cs="Calibri" w:eastAsia="Calibri" w:hAnsi="Calibri"/>
                <w:b/>
                <w:bCs/>
                <w:color w:val="1F2A37"/>
                <w:sz w:val="22"/>
                <w:szCs w:val="22"/>
              </w:rPr>
              <w:t xml:space="preserve">Dashboards › Quality › Evaluation Coverage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a customer org with quality evaluations. Open the page, pick a date range, load.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Coverage figures and evaluator activity render; the empty state reads "Nothing here yet." when the range has none.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A.3.2  </w:t>
            </w:r>
            <w:r>
              <w:rPr>
                <w:rFonts w:ascii="Calibri" w:cs="Calibri" w:eastAsia="Calibri" w:hAnsi="Calibri"/>
                <w:b/>
                <w:bCs/>
                <w:color w:val="1F2A37"/>
                <w:sz w:val="22"/>
                <w:szCs w:val="22"/>
              </w:rPr>
              <w:t xml:space="preserve">Dashboards › Quality › Evaluation Scores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Evaluation Scores. Pick a range and load. Sort and filter the columns; use the score range filter; open Show details on a row.</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Agent average scores and the evaluations table render; filters and sorting work; Show details opens the transcript and the scored form; question groups and direction columns populate.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A.3.3  </w:t>
            </w:r>
            <w:r>
              <w:rPr>
                <w:rFonts w:ascii="Calibri" w:cs="Calibri" w:eastAsia="Calibri" w:hAnsi="Calibri"/>
                <w:b/>
                <w:bCs/>
                <w:color w:val="1F2A37"/>
                <w:sz w:val="22"/>
                <w:szCs w:val="22"/>
              </w:rPr>
              <w:t xml:space="preserve">Dashboards › Quality › Evaluation Gaps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Evaluation Gaps, pick a range, load.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One row per interaction that should have been evaluated and was not, each with a reason.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A.3.4  </w:t>
            </w:r>
            <w:r>
              <w:rPr>
                <w:rFonts w:ascii="Calibri" w:cs="Calibri" w:eastAsia="Calibri" w:hAnsi="Calibri"/>
                <w:b/>
                <w:bCs/>
                <w:color w:val="1F2A37"/>
                <w:sz w:val="22"/>
                <w:szCs w:val="22"/>
              </w:rPr>
              <w:t xml:space="preserve">Dashboards › Quality › STA Configuration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STA Configuration for an org with Speech &amp; Text Analytics.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Every STA setting that decides what happens to an interaction is listed; an org without a program list is told so instead of loading forever.</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A.3.5  </w:t>
            </w:r>
            <w:r>
              <w:rPr>
                <w:rFonts w:ascii="Calibri" w:cs="Calibri" w:eastAsia="Calibri" w:hAnsi="Calibri"/>
                <w:b/>
                <w:bCs/>
                <w:color w:val="1F2A37"/>
                <w:sz w:val="22"/>
                <w:szCs w:val="22"/>
              </w:rPr>
              <w:t xml:space="preserve">Dashboards › Agent Copilot › Checklists &amp; Summaries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the page, choose one or more copilots and a date range, load. Page through the table; open a row with a transcript.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Interactions that ran with a checklist are listed with the Checked column; paging works past 500; a Transcript section appears only when a transcript exists.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p>
      <w:pPr>
        <w:pStyle w:val="Heading2"/>
        <w:spacing w:after="120" w:before="240"/>
      </w:pPr>
      <w:r>
        <w:t xml:space="preserve">A.4 — Billing from the admin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A.4.1  </w:t>
            </w:r>
            <w:r>
              <w:rPr>
                <w:rFonts w:ascii="Calibri" w:cs="Calibri" w:eastAsia="Calibri" w:hAnsi="Calibri"/>
                <w:b/>
                <w:bCs/>
                <w:color w:val="1F2A37"/>
                <w:sz w:val="22"/>
                <w:szCs w:val="22"/>
              </w:rPr>
              <w:t xml:space="preserve">Export › Billing › Billing Period (real org)</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a real customer org (a trustor of Netdesign DE). Open Export › Billing › Billing Period.</w:t>
            </w:r>
          </w:p>
          <w:p>
            <w:pPr>
              <w:pStyle w:val="ListParagraph"/>
              <w:numPr>
                <w:ilvl w:val="0"/>
                <w:numId w:val="3"/>
              </w:numPr>
              <w:spacing w:after="40"/>
            </w:pPr>
            <w:r>
              <w:rPr>
                <w:rFonts w:ascii="Calibri" w:cs="Calibri" w:eastAsia="Calibri" w:hAnsi="Calibri"/>
                <w:color w:val="1F2A37"/>
                <w:sz w:val="20"/>
                <w:szCs w:val="20"/>
              </w:rPr>
              <w:t xml:space="preserve">Wait for the four periods to load; pick one; Run; download.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sheet has the summary block, Regular Licenses, AI Tokens (if used), an APPS section with an Admin Tool row, and an overage section when anything is over.</w:t>
            </w:r>
          </w:p>
          <w:p>
            <w:pPr>
              <w:pStyle w:val="ListParagraph"/>
              <w:numPr>
                <w:ilvl w:val="0"/>
                <w:numId w:val="2"/>
              </w:numPr>
              <w:spacing w:after="40"/>
            </w:pPr>
            <w:r>
              <w:rPr>
                <w:rFonts w:ascii="Calibri" w:cs="Calibri" w:eastAsia="Calibri" w:hAnsi="Calibri"/>
                <w:color w:val="1F2A37"/>
                <w:sz w:val="20"/>
                <w:szCs w:val="20"/>
              </w:rPr>
              <w:t xml:space="preserve">Admin Tool shows the org's named-user peak for that period (0 if nobody is named).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A.4.2  </w:t>
            </w:r>
            <w:r>
              <w:rPr>
                <w:rFonts w:ascii="Calibri" w:cs="Calibri" w:eastAsia="Calibri" w:hAnsi="Calibri"/>
                <w:b/>
                <w:bCs/>
                <w:color w:val="1F2A37"/>
                <w:sz w:val="22"/>
                <w:szCs w:val="22"/>
              </w:rPr>
              <w:t xml:space="preserve">Export › Billing › Period Comparison (header selector)</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With the same org selected, open Period Comparison.</w:t>
            </w:r>
          </w:p>
          <w:p>
            <w:pPr>
              <w:pStyle w:val="ListParagraph"/>
              <w:numPr>
                <w:ilvl w:val="0"/>
                <w:numId w:val="3"/>
              </w:numPr>
              <w:spacing w:after="40"/>
            </w:pPr>
            <w:r>
              <w:rPr>
                <w:rFonts w:ascii="Calibri" w:cs="Calibri" w:eastAsia="Calibri" w:hAnsi="Calibri"/>
                <w:color w:val="1F2A37"/>
                <w:sz w:val="20"/>
                <w:szCs w:val="20"/>
              </w:rPr>
              <w:t xml:space="preserve">Confirm there is no org dropdown on the page — the org name shown is the header's.</w:t>
            </w:r>
          </w:p>
          <w:p>
            <w:pPr>
              <w:pStyle w:val="ListParagraph"/>
              <w:numPr>
                <w:ilvl w:val="0"/>
                <w:numId w:val="3"/>
              </w:numPr>
              <w:spacing w:after="40"/>
            </w:pPr>
            <w:r>
              <w:rPr>
                <w:rFonts w:ascii="Calibri" w:cs="Calibri" w:eastAsia="Calibri" w:hAnsi="Calibri"/>
                <w:color w:val="1F2A37"/>
                <w:sz w:val="20"/>
                <w:szCs w:val="20"/>
              </w:rPr>
              <w:t xml:space="preserve">Tick 2–4 periods and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comparison sheet has Δ and % columns between adjacent periods and an Admin Tool row per period.</w:t>
            </w:r>
          </w:p>
          <w:p>
            <w:pPr>
              <w:pStyle w:val="ListParagraph"/>
              <w:numPr>
                <w:ilvl w:val="0"/>
                <w:numId w:val="2"/>
              </w:numPr>
              <w:spacing w:after="40"/>
            </w:pPr>
            <w:r>
              <w:rPr>
                <w:rFonts w:ascii="Calibri" w:cs="Calibri" w:eastAsia="Calibri" w:hAnsi="Calibri"/>
                <w:color w:val="1F2A37"/>
                <w:sz w:val="20"/>
                <w:szCs w:val="20"/>
              </w:rPr>
              <w:t xml:space="preserve">Changing the org in the header reloads the periods.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A.4.3  </w:t>
            </w:r>
            <w:r>
              <w:rPr>
                <w:rFonts w:ascii="Calibri" w:cs="Calibri" w:eastAsia="Calibri" w:hAnsi="Calibri"/>
                <w:b/>
                <w:bCs/>
                <w:color w:val="1F2A37"/>
                <w:sz w:val="22"/>
                <w:szCs w:val="22"/>
              </w:rPr>
              <w:t xml:space="preserve">Export › Billing › All Orgs (Latest)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All Orgs (Latest) and run it.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One sheet per billable org, each with an APPS section; a sheet named Test IE (SIMULATED) is included; Demo is not.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A.4.4  </w:t>
            </w:r>
            <w:r>
              <w:rPr>
                <w:rFonts w:ascii="Calibri" w:cs="Calibri" w:eastAsia="Calibri" w:hAnsi="Calibri"/>
                <w:b/>
                <w:bCs/>
                <w:color w:val="1F2A37"/>
                <w:sz w:val="22"/>
                <w:szCs w:val="22"/>
              </w:rPr>
              <w:t xml:space="preserve">Export › Billing › Calendar Year</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Calendar Year, pick a year,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Per-org sheets with up to 12 periods; each period block carries an Admin Tool row.</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A.4.5  </w:t>
            </w:r>
            <w:r>
              <w:rPr>
                <w:rFonts w:ascii="Calibri" w:cs="Calibri" w:eastAsia="Calibri" w:hAnsi="Calibri"/>
                <w:b/>
                <w:bCs/>
                <w:color w:val="1F2A37"/>
                <w:sz w:val="22"/>
                <w:szCs w:val="22"/>
              </w:rPr>
              <w:t xml:space="preserve">Export › Billing › Date Range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Date Range, pick a from/to month,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Per-org sheets covering the range; Admin Tool row in every period block.</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A.4.6  </w:t>
            </w:r>
            <w:r>
              <w:rPr>
                <w:rFonts w:ascii="Calibri" w:cs="Calibri" w:eastAsia="Calibri" w:hAnsi="Calibri"/>
                <w:b/>
                <w:bCs/>
                <w:color w:val="1F2A37"/>
                <w:sz w:val="22"/>
                <w:szCs w:val="22"/>
              </w:rPr>
              <w:t xml:space="preserve">Export › Billing › Custom Orgs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Custom Orgs, tick a subset of orgs including Test IE,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Only the ticked orgs are in the workbook; Test IE's sheet is marked (SIMULATED).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A.4.7  </w:t>
            </w:r>
            <w:r>
              <w:rPr>
                <w:rFonts w:ascii="Calibri" w:cs="Calibri" w:eastAsia="Calibri" w:hAnsi="Calibri"/>
                <w:b/>
                <w:bCs/>
                <w:color w:val="1F2A37"/>
                <w:sz w:val="22"/>
                <w:szCs w:val="22"/>
              </w:rPr>
              <w:t xml:space="preserve">Billing on Test IE from the admin side is simulated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Test IE. Open Billing Period.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status line says the billing data is simulated and the Admin Tool count is real. The sheet banner reads "Test IE (SIMULATED)". Admin Tool = the number of users named in A.1 (2).</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A.4.8  </w:t>
            </w:r>
            <w:r>
              <w:rPr>
                <w:rFonts w:ascii="Calibri" w:cs="Calibri" w:eastAsia="Calibri" w:hAnsi="Calibri"/>
                <w:b/>
                <w:bCs/>
                <w:color w:val="1F2A37"/>
                <w:sz w:val="22"/>
                <w:szCs w:val="22"/>
              </w:rPr>
              <w:t xml:space="preserve">Overage Alerts created internally for Test IE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Test IE. Open Export › Billing › Overage Alerts. Click Create Alert.</w:t>
            </w:r>
          </w:p>
          <w:p>
            <w:pPr>
              <w:pStyle w:val="ListParagraph"/>
              <w:numPr>
                <w:ilvl w:val="0"/>
                <w:numId w:val="3"/>
              </w:numPr>
              <w:spacing w:after="40"/>
            </w:pPr>
            <w:r>
              <w:rPr>
                <w:rFonts w:ascii="Calibri" w:cs="Calibri" w:eastAsia="Calibri" w:hAnsi="Calibri"/>
                <w:color w:val="1F2A37"/>
                <w:sz w:val="20"/>
                <w:szCs w:val="20"/>
              </w:rPr>
              <w:t xml:space="preserve">Tick the WEM add-on (marked "currently over"), AI Tokens and Admin Tool with threshold 1. Daily. "Every run". Enter your e-mail. Create; confirm.</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alert appears in the list with Last run "Never —". Within five minutes it runs once (the immediate first run) and Last run shows a timestamp and Success.</w:t>
            </w:r>
          </w:p>
          <w:p>
            <w:pPr>
              <w:pStyle w:val="ListParagraph"/>
              <w:numPr>
                <w:ilvl w:val="0"/>
                <w:numId w:val="2"/>
              </w:numPr>
              <w:spacing w:after="40"/>
            </w:pPr>
            <w:r>
              <w:rPr>
                <w:rFonts w:ascii="Calibri" w:cs="Calibri" w:eastAsia="Calibri" w:hAnsi="Calibri"/>
                <w:color w:val="1F2A37"/>
                <w:sz w:val="20"/>
                <w:szCs w:val="20"/>
              </w:rPr>
              <w:t xml:space="preserve">You receive a mail: WEM over, AI Tokens billable, Admin Tool 2 &gt; 1, and a line saying the Genesys figures are simulated.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A.4.9  </w:t>
            </w:r>
            <w:r>
              <w:rPr>
                <w:rFonts w:ascii="Calibri" w:cs="Calibri" w:eastAsia="Calibri" w:hAnsi="Calibri"/>
                <w:b/>
                <w:bCs/>
                <w:color w:val="1F2A37"/>
                <w:sz w:val="22"/>
                <w:szCs w:val="22"/>
              </w:rPr>
              <w:t xml:space="preserve">Scheduled All Orgs export carries the Apps section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From Export › Billing › All Orgs (Latest), create a schedule for a few minutes ahead with your e-mail.</w:t>
            </w:r>
          </w:p>
          <w:p>
            <w:pPr>
              <w:pStyle w:val="ListParagraph"/>
              <w:numPr>
                <w:ilvl w:val="0"/>
                <w:numId w:val="3"/>
              </w:numPr>
              <w:spacing w:after="40"/>
            </w:pPr>
            <w:r>
              <w:rPr>
                <w:rFonts w:ascii="Calibri" w:cs="Calibri" w:eastAsia="Calibri" w:hAnsi="Calibri"/>
                <w:color w:val="1F2A37"/>
                <w:sz w:val="20"/>
                <w:szCs w:val="20"/>
              </w:rPr>
              <w:t xml:space="preserve">Wait for the mail.</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attached workbook has an APPS section on every sheet; Test IE is NOT included (scheduled exports never simulate).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p>
      <w:pPr>
        <w:pStyle w:val="Heading2"/>
        <w:spacing w:after="120" w:before="240"/>
      </w:pPr>
      <w:r>
        <w:t xml:space="preserve">A.5 — Permission greying (internal)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A.5.1  </w:t>
            </w:r>
            <w:r>
              <w:rPr>
                <w:rFonts w:ascii="Calibri" w:cs="Calibri" w:eastAsia="Calibri" w:hAnsi="Calibri"/>
                <w:b/>
                <w:bCs/>
                <w:color w:val="1F2A37"/>
                <w:sz w:val="22"/>
                <w:szCs w:val="22"/>
              </w:rPr>
              <w:t xml:space="preserve">A write the user's role does not allow is greyed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Sign in as a Demo user whose role lacks a write permission (e.g. no routing:queue:edit).</w:t>
            </w:r>
          </w:p>
          <w:p>
            <w:pPr>
              <w:pStyle w:val="ListParagraph"/>
              <w:numPr>
                <w:ilvl w:val="0"/>
                <w:numId w:val="3"/>
              </w:numPr>
              <w:spacing w:after="40"/>
            </w:pPr>
            <w:r>
              <w:rPr>
                <w:rFonts w:ascii="Calibri" w:cs="Calibri" w:eastAsia="Calibri" w:hAnsi="Calibri"/>
                <w:color w:val="1F2A37"/>
                <w:sz w:val="20"/>
                <w:szCs w:val="20"/>
              </w:rPr>
              <w:t xml:space="preserve">Look at Divisions › Routing › Queues in the menu, then open it.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menu entry is greyed and its tooltip names the permission; opening it shows the access-denied panel with the missing permission listed.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A.5.2  </w:t>
            </w:r>
            <w:r>
              <w:rPr>
                <w:rFonts w:ascii="Calibri" w:cs="Calibri" w:eastAsia="Calibri" w:hAnsi="Calibri"/>
                <w:b/>
                <w:bCs/>
                <w:color w:val="1F2A37"/>
                <w:sz w:val="22"/>
                <w:szCs w:val="22"/>
              </w:rPr>
              <w:t xml:space="preserve">A read the user's role does not allow is greyed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As the same user, look at Export › Licenses › Consumption and Audit › Search.</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Pages whose read permission the user lacks are greyed with the permission named — read-only pages are not exempt.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p>
      <w:r>
        <w:br w:type="page"/>
      </w:r>
    </w:p>
    <w:p>
      <w:pPr>
        <w:pStyle w:val="Heading1"/>
        <w:spacing w:after="120" w:before="360"/>
      </w:pPr>
      <w:r>
        <w:t xml:space="preserve">B — From a real customer org (billing only)</w:t>
      </w:r>
    </w:p>
    <w:p>
      <w:pPr>
        <w:spacing w:after="100"/>
      </w:pPr>
      <w:r>
        <w:rPr>
          <w:rFonts w:ascii="Calibri" w:cs="Calibri" w:eastAsia="Calibri" w:hAnsi="Calibri"/>
          <w:color w:val="1F2A37"/>
          <w:sz w:val="20"/>
          <w:szCs w:val="20"/>
        </w:rPr>
        <w:t xml:space="preserve">These cases need a real customer org that is a trustor of Netdesign DE, a user in that org who has been named on Customers › Access to Admin Tool, and — for the pages to open — that user holding billing:subscription:view in their own org.</w:t>
      </w:r>
    </w:p>
    <w:p>
      <w:pPr>
        <w:spacing w:after="100"/>
      </w:pPr>
      <w:r>
        <w:rPr>
          <w:rFonts w:ascii="Calibri" w:cs="Calibri" w:eastAsia="Calibri" w:hAnsi="Calibri"/>
          <w:color w:val="1F2A37"/>
          <w:sz w:val="20"/>
          <w:szCs w:val="20"/>
        </w:rPr>
        <w:t xml:space="preserve">Test IE cannot be used here: Netdesign DE is not its trustee, so its billing is simulated (Section C covers that).</w:t>
      </w:r>
    </w:p>
    <w:p>
      <w:pPr>
        <w:spacing w:after="100"/>
      </w:pPr>
      <w:r>
        <w:rPr>
          <w:rFonts w:ascii="Calibri" w:cs="Calibri" w:eastAsia="Calibri" w:hAnsi="Calibri"/>
          <w:color w:val="1F2A37"/>
          <w:sz w:val="20"/>
          <w:szCs w:val="20"/>
        </w:rPr>
        <w:t xml:space="preserve">Everything else customer-facing is tested from Test IE in Section C; only billing needs a real org, because only a real org has real billing.</w:t>
      </w:r>
    </w:p>
    <w:p>
      <w:pPr>
        <w:pStyle w:val="Heading2"/>
        <w:spacing w:after="120" w:before="240"/>
      </w:pPr>
      <w:r>
        <w:t xml:space="preserve">B.1 — Billing pages with real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B.1.1  </w:t>
            </w:r>
            <w:r>
              <w:rPr>
                <w:rFonts w:ascii="Calibri" w:cs="Calibri" w:eastAsia="Calibri" w:hAnsi="Calibri"/>
                <w:b/>
                <w:bCs/>
                <w:color w:val="1F2A37"/>
                <w:sz w:val="22"/>
                <w:szCs w:val="22"/>
              </w:rPr>
              <w:t xml:space="preserve">Billing Period shows the customer's own overview</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the Admin Tool from the customer org's Apps menu and sign in.</w:t>
            </w:r>
          </w:p>
          <w:p>
            <w:pPr>
              <w:pStyle w:val="ListParagraph"/>
              <w:numPr>
                <w:ilvl w:val="0"/>
                <w:numId w:val="3"/>
              </w:numPr>
              <w:spacing w:after="40"/>
            </w:pPr>
            <w:r>
              <w:rPr>
                <w:rFonts w:ascii="Calibri" w:cs="Calibri" w:eastAsia="Calibri" w:hAnsi="Calibri"/>
                <w:color w:val="1F2A37"/>
                <w:sz w:val="20"/>
                <w:szCs w:val="20"/>
              </w:rPr>
              <w:t xml:space="preserve">Open Export › Billing › Billing Period. Wait for the periods; pick the latest complete one; Run; download.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org selector is locked to this customer. The sheet shows prepay, actual usage and on-demand per licence, AI Tokens if used, an APPS section with Admin Tool = the number of named users, and an overage section listing anything over.</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B.1.2  </w:t>
            </w:r>
            <w:r>
              <w:rPr>
                <w:rFonts w:ascii="Calibri" w:cs="Calibri" w:eastAsia="Calibri" w:hAnsi="Calibri"/>
                <w:b/>
                <w:bCs/>
                <w:color w:val="1F2A37"/>
                <w:sz w:val="22"/>
                <w:szCs w:val="22"/>
              </w:rPr>
              <w:t xml:space="preserve">Period Comparison with real periods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Period Comparison. Tick 2–4 periods;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No org dropdown on the page. Δ and % columns between adjacent periods; an Admin Tool row per period.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B.1.3  </w:t>
            </w:r>
            <w:r>
              <w:rPr>
                <w:rFonts w:ascii="Calibri" w:cs="Calibri" w:eastAsia="Calibri" w:hAnsi="Calibri"/>
                <w:b/>
                <w:bCs/>
                <w:color w:val="1F2A37"/>
                <w:sz w:val="22"/>
                <w:szCs w:val="22"/>
              </w:rPr>
              <w:t xml:space="preserve">A user without billing:subscription:view is greyed out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Sign in as a customer user who has been named but whose Genesys role lacks billing:subscription:view.</w:t>
            </w:r>
          </w:p>
          <w:p>
            <w:pPr>
              <w:pStyle w:val="ListParagraph"/>
              <w:numPr>
                <w:ilvl w:val="0"/>
                <w:numId w:val="3"/>
              </w:numPr>
              <w:spacing w:after="40"/>
            </w:pPr>
            <w:r>
              <w:rPr>
                <w:rFonts w:ascii="Calibri" w:cs="Calibri" w:eastAsia="Calibri" w:hAnsi="Calibri"/>
                <w:color w:val="1F2A37"/>
                <w:sz w:val="20"/>
                <w:szCs w:val="20"/>
              </w:rPr>
              <w:t xml:space="preserve">Look at Export › Billing in the menu.</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Billing Period, Period Comparison and Overage Alerts are greyed with billing:subscription:view named in the tooltip; opening one shows the access-denied panel.</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B.1.4  </w:t>
            </w:r>
            <w:r>
              <w:rPr>
                <w:rFonts w:ascii="Calibri" w:cs="Calibri" w:eastAsia="Calibri" w:hAnsi="Calibri"/>
                <w:b/>
                <w:bCs/>
                <w:color w:val="1F2A37"/>
                <w:sz w:val="22"/>
                <w:szCs w:val="22"/>
              </w:rPr>
              <w:t xml:space="preserve">Overage alert on a real licence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Export › Billing › Overage Alerts. Create Alert; tick a licence that is currently over (or AI Tokens); Daily; "Every run"; your e-mail; Create; confirm.</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alert runs once within five minutes and you receive a mail listing the item with committed / actual / over by. Nothing in the mail is a price.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B.1.5  </w:t>
            </w:r>
            <w:r>
              <w:rPr>
                <w:rFonts w:ascii="Calibri" w:cs="Calibri" w:eastAsia="Calibri" w:hAnsi="Calibri"/>
                <w:b/>
                <w:bCs/>
                <w:color w:val="1F2A37"/>
                <w:sz w:val="22"/>
                <w:szCs w:val="22"/>
              </w:rPr>
              <w:t xml:space="preserve">Overage alert with nothing over sends nothing</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Create a second alert on a licence that is NOT over. Wait for its first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Last run shows Success but no mail arrives; the Activity Log records the run as all clear.</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p>
      <w:r>
        <w:br w:type="page"/>
      </w:r>
    </w:p>
    <w:p>
      <w:pPr>
        <w:pStyle w:val="Heading1"/>
        <w:spacing w:after="120" w:before="360"/>
      </w:pPr>
      <w:r>
        <w:t xml:space="preserve">C — From Test IE as a customer</w:t>
      </w:r>
    </w:p>
    <w:p>
      <w:pPr>
        <w:spacing w:after="100"/>
      </w:pPr>
      <w:r>
        <w:rPr>
          <w:rFonts w:ascii="Calibri" w:cs="Calibri" w:eastAsia="Calibri" w:hAnsi="Calibri"/>
          <w:color w:val="1F2A37"/>
          <w:sz w:val="20"/>
          <w:szCs w:val="20"/>
        </w:rPr>
        <w:t xml:space="preserve">Sign in to Genesys as your Test IE user and open the Admin Tool from Test IE's Apps menu. Section A.1 must have been completed: your user must be named on Customers › Access to Admin Tool.</w:t>
      </w:r>
    </w:p>
    <w:p>
      <w:pPr>
        <w:spacing w:after="100"/>
      </w:pPr>
      <w:r>
        <w:rPr>
          <w:rFonts w:ascii="Calibri" w:cs="Calibri" w:eastAsia="Calibri" w:hAnsi="Calibri"/>
          <w:color w:val="1F2A37"/>
          <w:sz w:val="20"/>
          <w:szCs w:val="20"/>
        </w:rPr>
        <w:t xml:space="preserve">Test IE is the customer simulation org. Everything here is what a paying customer would see; billing figures on Test IE are simulated and marked as such, but the Admin Tool count is real.</w:t>
      </w:r>
    </w:p>
    <w:p>
      <w:pPr>
        <w:spacing w:after="100"/>
      </w:pPr>
      <w:r>
        <w:rPr>
          <w:rFonts w:ascii="Calibri" w:cs="Calibri" w:eastAsia="Calibri" w:hAnsi="Calibri"/>
          <w:color w:val="1F2A37"/>
          <w:sz w:val="20"/>
          <w:szCs w:val="20"/>
        </w:rPr>
        <w:t xml:space="preserve">For the permission cases in C.4 a second Test IE user with a narrower Genesys role is needed.</w:t>
      </w:r>
    </w:p>
    <w:p>
      <w:pPr>
        <w:pStyle w:val="Heading2"/>
        <w:spacing w:after="120" w:before="240"/>
      </w:pPr>
      <w:r>
        <w:t xml:space="preserve">C.1 — The named-user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C.1.1  </w:t>
            </w:r>
            <w:r>
              <w:rPr>
                <w:rFonts w:ascii="Calibri" w:cs="Calibri" w:eastAsia="Calibri" w:hAnsi="Calibri"/>
                <w:b/>
                <w:bCs/>
                <w:color w:val="1F2A37"/>
                <w:sz w:val="22"/>
                <w:szCs w:val="22"/>
              </w:rPr>
              <w:t xml:space="preserve">An unnamed user is refused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Sign in to Genesys as a Test IE user who has NOT been named on Access to Admin Tool. Open the Admin Tool.</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One screen: "No licence for this app is assigned to you", with the note that a newly added licence can take up to five minutes or a fresh sign-in. No menu, no partial page.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C.1.2  </w:t>
            </w:r>
            <w:r>
              <w:rPr>
                <w:rFonts w:ascii="Calibri" w:cs="Calibri" w:eastAsia="Calibri" w:hAnsi="Calibri"/>
                <w:b/>
                <w:bCs/>
                <w:color w:val="1F2A37"/>
                <w:sz w:val="22"/>
                <w:szCs w:val="22"/>
              </w:rPr>
              <w:t xml:space="preserve">A named user is admitted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Sign in as your named Test IE user. Open the Admin Tool.</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app opens in customer mode. The header shows Test IE and the org selector is locked.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C.1.3  </w:t>
            </w:r>
            <w:r>
              <w:rPr>
                <w:rFonts w:ascii="Calibri" w:cs="Calibri" w:eastAsia="Calibri" w:hAnsi="Calibri"/>
                <w:b/>
                <w:bCs/>
                <w:color w:val="1F2A37"/>
                <w:sz w:val="22"/>
                <w:szCs w:val="22"/>
              </w:rPr>
              <w:t xml:space="preserve">Removal takes effect within five minutes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Have a Master Admin remove your user on Access to Admin Tool (A.1 pattern). Keep using the app, then sign out and back in.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Within five minutes, or immediately after a fresh sign-in, you get the refusal screen. After being re-added and signing in again, you are back in.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p>
      <w:pPr>
        <w:pStyle w:val="Heading2"/>
        <w:spacing w:after="120" w:before="240"/>
      </w:pPr>
      <w:r>
        <w:t xml:space="preserve">C.2 — Sessions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C.2.1  </w:t>
            </w:r>
            <w:r>
              <w:rPr>
                <w:rFonts w:ascii="Calibri" w:cs="Calibri" w:eastAsia="Calibri" w:hAnsi="Calibri"/>
                <w:b/>
                <w:bCs/>
                <w:color w:val="1F2A37"/>
                <w:sz w:val="22"/>
                <w:szCs w:val="22"/>
              </w:rPr>
              <w:t xml:space="preserve">Admin app first, then the customer app</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In the same browser, sign in to Genesys as a Demo user and open the admin app (internal mode). Then sign in to Genesys as your Test IE user and open the Test IE app.</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You are sent to a Test IE sign-in and land in customer mode. You do NOT see the internal app or the customer list.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C.2.2  </w:t>
            </w:r>
            <w:r>
              <w:rPr>
                <w:rFonts w:ascii="Calibri" w:cs="Calibri" w:eastAsia="Calibri" w:hAnsi="Calibri"/>
                <w:b/>
                <w:bCs/>
                <w:color w:val="1F2A37"/>
                <w:sz w:val="22"/>
                <w:szCs w:val="22"/>
              </w:rPr>
              <w:t xml:space="preserve">Customer app opened twice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Leave the Test IE app for another Genesys page, then open it again from the Apps menu.</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Straight back in; no second sign-in.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C.2.3  </w:t>
            </w:r>
            <w:r>
              <w:rPr>
                <w:rFonts w:ascii="Calibri" w:cs="Calibri" w:eastAsia="Calibri" w:hAnsi="Calibri"/>
                <w:b/>
                <w:bCs/>
                <w:color w:val="1F2A37"/>
                <w:sz w:val="22"/>
                <w:szCs w:val="22"/>
              </w:rPr>
              <w:t xml:space="preserve">Moving around inside the app</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Use the app's own menu to open several pages; switch to another Genesys tab and back.</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No re-login at any point.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C.2.4  </w:t>
            </w:r>
            <w:r>
              <w:rPr>
                <w:rFonts w:ascii="Calibri" w:cs="Calibri" w:eastAsia="Calibri" w:hAnsi="Calibri"/>
                <w:b/>
                <w:bCs/>
                <w:color w:val="1F2A37"/>
                <w:sz w:val="22"/>
                <w:szCs w:val="22"/>
              </w:rPr>
              <w:t xml:space="preserve">Handoff between browser tabs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the admin app as a Demo user, then within 30 seconds open the Test IE app in a new browser tab.</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Test IE app does not inherit the admin session: you sign in as Test IE.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p>
      <w:pPr>
        <w:pStyle w:val="Heading2"/>
        <w:spacing w:after="120" w:before="240"/>
      </w:pPr>
      <w:r>
        <w:t xml:space="preserve">C.3 — What a customer sees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C.3.1  </w:t>
            </w:r>
            <w:r>
              <w:rPr>
                <w:rFonts w:ascii="Calibri" w:cs="Calibri" w:eastAsia="Calibri" w:hAnsi="Calibri"/>
                <w:b/>
                <w:bCs/>
                <w:color w:val="1F2A37"/>
                <w:sz w:val="22"/>
                <w:szCs w:val="22"/>
              </w:rPr>
              <w:t xml:space="preserve">Internal-only sections are absent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Read the left menu.</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No Customers, Deployment or Utilities. Under Interactions there is no Recordings. Under Export › Billing there is no All Orgs, Calendar Year, Date Range or Custom Orgs. Under Export › Users there is no Trustee; under Export › Roles no All Orgs. No "Copy - Between Orgs" under Data Actions, Data Tables or Roles. No Flows › Delete Flow.</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C.3.2  </w:t>
            </w:r>
            <w:r>
              <w:rPr>
                <w:rFonts w:ascii="Calibri" w:cs="Calibri" w:eastAsia="Calibri" w:hAnsi="Calibri"/>
                <w:b/>
                <w:bCs/>
                <w:color w:val="1F2A37"/>
                <w:sz w:val="22"/>
                <w:szCs w:val="22"/>
              </w:rPr>
              <w:t xml:space="preserve">Org selector is locked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Click the org dropdown in the header.</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It shows only Test IE and cannot be changed.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p>
      <w:pPr>
        <w:pStyle w:val="Heading2"/>
        <w:spacing w:after="120" w:before="240"/>
      </w:pPr>
      <w:r>
        <w:t xml:space="preserve">C.4 — Permission greying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C.4.1  </w:t>
            </w:r>
            <w:r>
              <w:rPr>
                <w:rFonts w:ascii="Calibri" w:cs="Calibri" w:eastAsia="Calibri" w:hAnsi="Calibri"/>
                <w:b/>
                <w:bCs/>
                <w:color w:val="1F2A37"/>
                <w:sz w:val="22"/>
                <w:szCs w:val="22"/>
              </w:rPr>
              <w:t xml:space="preserve">A page the user cannot write to is greyed, not hidden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Sign in as a named Test IE user whose role lacks routing:queue:edit. Look at Divisions › Routing › Queues.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Greyed in the menu with the permission in the tooltip; opening it shows the access-denied panel naming routing:queue:edit.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C.4.2  </w:t>
            </w:r>
            <w:r>
              <w:rPr>
                <w:rFonts w:ascii="Calibri" w:cs="Calibri" w:eastAsia="Calibri" w:hAnsi="Calibri"/>
                <w:b/>
                <w:bCs/>
                <w:color w:val="1F2A37"/>
                <w:sz w:val="22"/>
                <w:szCs w:val="22"/>
              </w:rPr>
              <w:t xml:space="preserve">Per-control greying inside a page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As a user lacking architect:datatableRow:delete but holding the add/edit permissions, open Data Tables › Edit and load a table.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"Delete rows" is disabled with the permission named; add and edit remain enabled.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C.4.3  </w:t>
            </w:r>
            <w:r>
              <w:rPr>
                <w:rFonts w:ascii="Calibri" w:cs="Calibri" w:eastAsia="Calibri" w:hAnsi="Calibri"/>
                <w:b/>
                <w:bCs/>
                <w:color w:val="1F2A37"/>
                <w:sz w:val="22"/>
                <w:szCs w:val="22"/>
              </w:rPr>
              <w:t xml:space="preserve">A page with no Genesys permission behind it is never greyed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As the user lacking permissions from the cases above, look at the three GDPR leaves in the menu.</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Subject Request and Request Status grey according to gdpr:subject:view and gdpr:request:view, with the permission in the tooltip. Article 15 - Export Reader is never greyed: it reads a file on your machine and calls no Genesys endpoint, so there is no permission to lack.</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C.4.4  </w:t>
            </w:r>
            <w:r>
              <w:rPr>
                <w:rFonts w:ascii="Calibri" w:cs="Calibri" w:eastAsia="Calibri" w:hAnsi="Calibri"/>
                <w:b/>
                <w:bCs/>
                <w:color w:val="1F2A37"/>
                <w:sz w:val="22"/>
                <w:szCs w:val="22"/>
              </w:rPr>
              <w:t xml:space="preserve">Nothing greyed that should not be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Sign in as a named Test IE user with full permissions.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No menu entry is greyed and no control is disabled — the same app as before the greying was added.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p>
      <w:pPr>
        <w:pStyle w:val="Heading2"/>
        <w:spacing w:after="120" w:before="240"/>
      </w:pPr>
      <w:r>
        <w:t xml:space="preserve">C.5 — Every customer-facing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C.5.1  </w:t>
            </w:r>
            <w:r>
              <w:rPr>
                <w:rFonts w:ascii="Calibri" w:cs="Calibri" w:eastAsia="Calibri" w:hAnsi="Calibri"/>
                <w:b/>
                <w:bCs/>
                <w:color w:val="1F2A37"/>
                <w:sz w:val="22"/>
                <w:szCs w:val="22"/>
              </w:rPr>
              <w:t xml:space="preserve">Audit › Search</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Audit › Search. Search the last 7 days for all services; then pick one service and a longer range.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Short ranges return quickly from the realtime API; longer or service-specific ranges fall back to the async API and still return. Rows show the audit entries.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C.5.2  </w:t>
            </w:r>
            <w:r>
              <w:rPr>
                <w:rFonts w:ascii="Calibri" w:cs="Calibri" w:eastAsia="Calibri" w:hAnsi="Calibri"/>
                <w:b/>
                <w:bCs/>
                <w:color w:val="1F2A37"/>
                <w:sz w:val="22"/>
                <w:szCs w:val="22"/>
              </w:rPr>
              <w:t xml:space="preserve">Data Actions › Edit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Data Actions › Edit. Pick a published data action; change a property or the config; save; publish; test it from the page.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action opens with its properties; saving and publishing succeed; the test panel shows the response.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C.5.3  </w:t>
            </w:r>
            <w:r>
              <w:rPr>
                <w:rFonts w:ascii="Calibri" w:cs="Calibri" w:eastAsia="Calibri" w:hAnsi="Calibri"/>
                <w:b/>
                <w:bCs/>
                <w:color w:val="1F2A37"/>
                <w:sz w:val="22"/>
                <w:szCs w:val="22"/>
              </w:rPr>
              <w:t xml:space="preserve">Data Actions › Test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Data Actions › Test. Pick an action, enter inputs,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response is shown. There is no save or publish on this page and no editable field.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C.5.4  </w:t>
            </w:r>
            <w:r>
              <w:rPr>
                <w:rFonts w:ascii="Calibri" w:cs="Calibri" w:eastAsia="Calibri" w:hAnsi="Calibri"/>
                <w:b/>
                <w:bCs/>
                <w:color w:val="1F2A37"/>
                <w:sz w:val="22"/>
                <w:szCs w:val="22"/>
              </w:rPr>
              <w:t xml:space="preserve">Data Tables › Create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Data Tables › Create. Define a name and columns (or upload the Excel format) and create.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table exists in Test IE with the given schema.</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C.5.5  </w:t>
            </w:r>
            <w:r>
              <w:rPr>
                <w:rFonts w:ascii="Calibri" w:cs="Calibri" w:eastAsia="Calibri" w:hAnsi="Calibri"/>
                <w:b/>
                <w:bCs/>
                <w:color w:val="1F2A37"/>
                <w:sz w:val="22"/>
                <w:szCs w:val="22"/>
              </w:rPr>
              <w:t xml:space="preserve">Data Tables › Edit — schema</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Data Tables › Edit, pick a table, Schema mode. Add a column; save.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schema updates and the new column appears in Rows mode.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C.5.6  </w:t>
            </w:r>
            <w:r>
              <w:rPr>
                <w:rFonts w:ascii="Calibri" w:cs="Calibri" w:eastAsia="Calibri" w:hAnsi="Calibri"/>
                <w:b/>
                <w:bCs/>
                <w:color w:val="1F2A37"/>
                <w:sz w:val="22"/>
                <w:szCs w:val="22"/>
              </w:rPr>
              <w:t xml:space="preserve">Data Tables › Edit — rows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Switch to Rows mode. Search the table; add a row; edit a value; tick rows and delete.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Paging and full-table search work; add, edit and delete each report success and the grid reflects them.</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C.5.7  </w:t>
            </w:r>
            <w:r>
              <w:rPr>
                <w:rFonts w:ascii="Calibri" w:cs="Calibri" w:eastAsia="Calibri" w:hAnsi="Calibri"/>
                <w:b/>
                <w:bCs/>
                <w:color w:val="1F2A37"/>
                <w:sz w:val="22"/>
                <w:szCs w:val="22"/>
              </w:rPr>
              <w:t xml:space="preserve">Data Tables › Copy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Data Tables › Copy. Pick a table, choose whether to copy rows, copy.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 copy exists in Test IE with the same schema (and rows if chosen).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C.5.8  </w:t>
            </w:r>
            <w:r>
              <w:rPr>
                <w:rFonts w:ascii="Calibri" w:cs="Calibri" w:eastAsia="Calibri" w:hAnsi="Calibri"/>
                <w:b/>
                <w:bCs/>
                <w:color w:val="1F2A37"/>
                <w:sz w:val="22"/>
                <w:szCs w:val="22"/>
              </w:rPr>
              <w:t xml:space="preserve">Divisions › People › Users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People › Users. The page loads every user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users,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C.5.9  </w:t>
            </w:r>
            <w:r>
              <w:rPr>
                <w:rFonts w:ascii="Calibri" w:cs="Calibri" w:eastAsia="Calibri" w:hAnsi="Calibri"/>
                <w:b/>
                <w:bCs/>
                <w:color w:val="1F2A37"/>
                <w:sz w:val="22"/>
                <w:szCs w:val="22"/>
              </w:rPr>
              <w:t xml:space="preserve">Divisions › People › Work Teams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People › Work Teams. The page loads every work team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work teams,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C.5.10  </w:t>
            </w:r>
            <w:r>
              <w:rPr>
                <w:rFonts w:ascii="Calibri" w:cs="Calibri" w:eastAsia="Calibri" w:hAnsi="Calibri"/>
                <w:b/>
                <w:bCs/>
                <w:color w:val="1F2A37"/>
                <w:sz w:val="22"/>
                <w:szCs w:val="22"/>
              </w:rPr>
              <w:t xml:space="preserve">Divisions › Routing › Queues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Routing › Queues. The page loads every queue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queues,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C.5.11  </w:t>
            </w:r>
            <w:r>
              <w:rPr>
                <w:rFonts w:ascii="Calibri" w:cs="Calibri" w:eastAsia="Calibri" w:hAnsi="Calibri"/>
                <w:b/>
                <w:bCs/>
                <w:color w:val="1F2A37"/>
                <w:sz w:val="22"/>
                <w:szCs w:val="22"/>
              </w:rPr>
              <w:t xml:space="preserve">Divisions › Routing › Call Routes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Routing › Call Routes. The page loads every call route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call routes,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C.5.12  </w:t>
            </w:r>
            <w:r>
              <w:rPr>
                <w:rFonts w:ascii="Calibri" w:cs="Calibri" w:eastAsia="Calibri" w:hAnsi="Calibri"/>
                <w:b/>
                <w:bCs/>
                <w:color w:val="1F2A37"/>
                <w:sz w:val="22"/>
                <w:szCs w:val="22"/>
              </w:rPr>
              <w:t xml:space="preserve">Divisions › Routing › Emergency Groups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Routing › Emergency Groups. The page loads every emergency group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emergency groups,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C.5.13  </w:t>
            </w:r>
            <w:r>
              <w:rPr>
                <w:rFonts w:ascii="Calibri" w:cs="Calibri" w:eastAsia="Calibri" w:hAnsi="Calibri"/>
                <w:b/>
                <w:bCs/>
                <w:color w:val="1F2A37"/>
                <w:sz w:val="22"/>
                <w:szCs w:val="22"/>
              </w:rPr>
              <w:t xml:space="preserve">Divisions › Routing › Extension Pools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Routing › Extension Pools. The page loads every extension pool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extension pools,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C.5.14  </w:t>
            </w:r>
            <w:r>
              <w:rPr>
                <w:rFonts w:ascii="Calibri" w:cs="Calibri" w:eastAsia="Calibri" w:hAnsi="Calibri"/>
                <w:b/>
                <w:bCs/>
                <w:color w:val="1F2A37"/>
                <w:sz w:val="22"/>
                <w:szCs w:val="22"/>
              </w:rPr>
              <w:t xml:space="preserve">Divisions › Routing › Routing Schedules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Routing › Routing Schedules. The page loads every routing schedule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routing schedules,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C.5.15  </w:t>
            </w:r>
            <w:r>
              <w:rPr>
                <w:rFonts w:ascii="Calibri" w:cs="Calibri" w:eastAsia="Calibri" w:hAnsi="Calibri"/>
                <w:b/>
                <w:bCs/>
                <w:color w:val="1F2A37"/>
                <w:sz w:val="22"/>
                <w:szCs w:val="22"/>
              </w:rPr>
              <w:t xml:space="preserve">Divisions › Routing › Routing Schedule Groups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Routing › Routing Schedule Groups. The page loads every routing schedule group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routing schedule groups,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C.5.16  </w:t>
            </w:r>
            <w:r>
              <w:rPr>
                <w:rFonts w:ascii="Calibri" w:cs="Calibri" w:eastAsia="Calibri" w:hAnsi="Calibri"/>
                <w:b/>
                <w:bCs/>
                <w:color w:val="1F2A37"/>
                <w:sz w:val="22"/>
                <w:szCs w:val="22"/>
              </w:rPr>
              <w:t xml:space="preserve">Divisions › Routing › Skill Groups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Routing › Skill Groups. The page loads every skill group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skill groups,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C.5.17  </w:t>
            </w:r>
            <w:r>
              <w:rPr>
                <w:rFonts w:ascii="Calibri" w:cs="Calibri" w:eastAsia="Calibri" w:hAnsi="Calibri"/>
                <w:b/>
                <w:bCs/>
                <w:color w:val="1F2A37"/>
                <w:sz w:val="22"/>
                <w:szCs w:val="22"/>
              </w:rPr>
              <w:t xml:space="preserve">Divisions › Routing › Skills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Routing › Skills. The page loads every skill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skills,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C.5.18  </w:t>
            </w:r>
            <w:r>
              <w:rPr>
                <w:rFonts w:ascii="Calibri" w:cs="Calibri" w:eastAsia="Calibri" w:hAnsi="Calibri"/>
                <w:b/>
                <w:bCs/>
                <w:color w:val="1F2A37"/>
                <w:sz w:val="22"/>
                <w:szCs w:val="22"/>
              </w:rPr>
              <w:t xml:space="preserve">Divisions › Routing › Wrap-up Codes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Routing › Wrap-up Codes. The page loads every wrap-up code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wrap-up codes,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C.5.19  </w:t>
            </w:r>
            <w:r>
              <w:rPr>
                <w:rFonts w:ascii="Calibri" w:cs="Calibri" w:eastAsia="Calibri" w:hAnsi="Calibri"/>
                <w:b/>
                <w:bCs/>
                <w:color w:val="1F2A37"/>
                <w:sz w:val="22"/>
                <w:szCs w:val="22"/>
              </w:rPr>
              <w:t xml:space="preserve">Divisions › Architect › Flows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Architect › Flows. The page loads every flow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flows,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C.5.20  </w:t>
            </w:r>
            <w:r>
              <w:rPr>
                <w:rFonts w:ascii="Calibri" w:cs="Calibri" w:eastAsia="Calibri" w:hAnsi="Calibri"/>
                <w:b/>
                <w:bCs/>
                <w:color w:val="1F2A37"/>
                <w:sz w:val="22"/>
                <w:szCs w:val="22"/>
              </w:rPr>
              <w:t xml:space="preserve">Divisions › Architect › Milestones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Architect › Milestones. The page loads every milestone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milestones,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C.5.21  </w:t>
            </w:r>
            <w:r>
              <w:rPr>
                <w:rFonts w:ascii="Calibri" w:cs="Calibri" w:eastAsia="Calibri" w:hAnsi="Calibri"/>
                <w:b/>
                <w:bCs/>
                <w:color w:val="1F2A37"/>
                <w:sz w:val="22"/>
                <w:szCs w:val="22"/>
              </w:rPr>
              <w:t xml:space="preserve">Divisions › Architect › Flow Outcomes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Architect › Flow Outcomes. The page loads every flow outcome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flow outcomes,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C.5.22  </w:t>
            </w:r>
            <w:r>
              <w:rPr>
                <w:rFonts w:ascii="Calibri" w:cs="Calibri" w:eastAsia="Calibri" w:hAnsi="Calibri"/>
                <w:b/>
                <w:bCs/>
                <w:color w:val="1F2A37"/>
                <w:sz w:val="22"/>
                <w:szCs w:val="22"/>
              </w:rPr>
              <w:t xml:space="preserve">Divisions › Architect › Scripts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Architect › Scripts. The page loads every script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scripts,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C.5.23  </w:t>
            </w:r>
            <w:r>
              <w:rPr>
                <w:rFonts w:ascii="Calibri" w:cs="Calibri" w:eastAsia="Calibri" w:hAnsi="Calibri"/>
                <w:b/>
                <w:bCs/>
                <w:color w:val="1F2A37"/>
                <w:sz w:val="22"/>
                <w:szCs w:val="22"/>
              </w:rPr>
              <w:t xml:space="preserve">Divisions › Architect › Data Tables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Architect › Data Tables. The page loads every data table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data tables,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C.5.24  </w:t>
            </w:r>
            <w:r>
              <w:rPr>
                <w:rFonts w:ascii="Calibri" w:cs="Calibri" w:eastAsia="Calibri" w:hAnsi="Calibri"/>
                <w:b/>
                <w:bCs/>
                <w:color w:val="1F2A37"/>
                <w:sz w:val="22"/>
                <w:szCs w:val="22"/>
              </w:rPr>
              <w:t xml:space="preserve">Divisions › Outbound › Campaigns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Outbound › Campaigns. The page loads every campaign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campaigns,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C.5.25  </w:t>
            </w:r>
            <w:r>
              <w:rPr>
                <w:rFonts w:ascii="Calibri" w:cs="Calibri" w:eastAsia="Calibri" w:hAnsi="Calibri"/>
                <w:b/>
                <w:bCs/>
                <w:color w:val="1F2A37"/>
                <w:sz w:val="22"/>
                <w:szCs w:val="22"/>
              </w:rPr>
              <w:t xml:space="preserve">Divisions › Outbound › Contact Lists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Outbound › Contact Lists. The page loads every contact list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contact lists,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C.5.26  </w:t>
            </w:r>
            <w:r>
              <w:rPr>
                <w:rFonts w:ascii="Calibri" w:cs="Calibri" w:eastAsia="Calibri" w:hAnsi="Calibri"/>
                <w:b/>
                <w:bCs/>
                <w:color w:val="1F2A37"/>
                <w:sz w:val="22"/>
                <w:szCs w:val="22"/>
              </w:rPr>
              <w:t xml:space="preserve">Divisions › Outbound › DNC Lists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Outbound › DNC Lists. The page loads every DNC list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DNC lists,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C.5.27  </w:t>
            </w:r>
            <w:r>
              <w:rPr>
                <w:rFonts w:ascii="Calibri" w:cs="Calibri" w:eastAsia="Calibri" w:hAnsi="Calibri"/>
                <w:b/>
                <w:bCs/>
                <w:color w:val="1F2A37"/>
                <w:sz w:val="22"/>
                <w:szCs w:val="22"/>
              </w:rPr>
              <w:t xml:space="preserve">Divisions › Outbound › Email Campaigns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Outbound › Email Campaigns. The page loads every email campaign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email campaigns,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C.5.28  </w:t>
            </w:r>
            <w:r>
              <w:rPr>
                <w:rFonts w:ascii="Calibri" w:cs="Calibri" w:eastAsia="Calibri" w:hAnsi="Calibri"/>
                <w:b/>
                <w:bCs/>
                <w:color w:val="1F2A37"/>
                <w:sz w:val="22"/>
                <w:szCs w:val="22"/>
              </w:rPr>
              <w:t xml:space="preserve">Divisions › Outbound › Messaging Campaigns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Outbound › Messaging Campaigns. The page loads every messaging campaign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messaging campaigns,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C.5.29  </w:t>
            </w:r>
            <w:r>
              <w:rPr>
                <w:rFonts w:ascii="Calibri" w:cs="Calibri" w:eastAsia="Calibri" w:hAnsi="Calibri"/>
                <w:b/>
                <w:bCs/>
                <w:color w:val="1F2A37"/>
                <w:sz w:val="22"/>
                <w:szCs w:val="22"/>
              </w:rPr>
              <w:t xml:space="preserve">Divisions › Workforce Mgmt › Business Units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Workforce Mgmt › Business Units. The page loads every business unit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business units,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C.5.30  </w:t>
            </w:r>
            <w:r>
              <w:rPr>
                <w:rFonts w:ascii="Calibri" w:cs="Calibri" w:eastAsia="Calibri" w:hAnsi="Calibri"/>
                <w:b/>
                <w:bCs/>
                <w:color w:val="1F2A37"/>
                <w:sz w:val="22"/>
                <w:szCs w:val="22"/>
              </w:rPr>
              <w:t xml:space="preserve">Divisions › Workforce Mgmt › Management Units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Workforce Mgmt › Management Units. The page loads every management unit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management units,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C.5.31  </w:t>
            </w:r>
            <w:r>
              <w:rPr>
                <w:rFonts w:ascii="Calibri" w:cs="Calibri" w:eastAsia="Calibri" w:hAnsi="Calibri"/>
                <w:b/>
                <w:bCs/>
                <w:color w:val="1F2A37"/>
                <w:sz w:val="22"/>
                <w:szCs w:val="22"/>
              </w:rPr>
              <w:t xml:space="preserve">Divisions › Task Mgmt › Workbins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Task Mgmt › Workbins. The page loads every workbin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workbins,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C.5.32  </w:t>
            </w:r>
            <w:r>
              <w:rPr>
                <w:rFonts w:ascii="Calibri" w:cs="Calibri" w:eastAsia="Calibri" w:hAnsi="Calibri"/>
                <w:b/>
                <w:bCs/>
                <w:color w:val="1F2A37"/>
                <w:sz w:val="22"/>
                <w:szCs w:val="22"/>
              </w:rPr>
              <w:t xml:space="preserve">Divisions › Task Mgmt › Work Types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Task Mgmt › Work Types. The page loads every work type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work types,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C.5.33  </w:t>
            </w:r>
            <w:r>
              <w:rPr>
                <w:rFonts w:ascii="Calibri" w:cs="Calibri" w:eastAsia="Calibri" w:hAnsi="Calibri"/>
                <w:b/>
                <w:bCs/>
                <w:color w:val="1F2A37"/>
                <w:sz w:val="22"/>
                <w:szCs w:val="22"/>
              </w:rPr>
              <w:t xml:space="preserve">Divisions › Response Mgmt › Libraries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Select the org in the header.</w:t>
            </w:r>
          </w:p>
          <w:p>
            <w:pPr>
              <w:pStyle w:val="ListParagraph"/>
              <w:numPr>
                <w:ilvl w:val="0"/>
                <w:numId w:val="3"/>
              </w:numPr>
              <w:spacing w:after="40"/>
            </w:pPr>
            <w:r>
              <w:rPr>
                <w:rFonts w:ascii="Calibri" w:cs="Calibri" w:eastAsia="Calibri" w:hAnsi="Calibri"/>
                <w:color w:val="1F2A37"/>
                <w:sz w:val="20"/>
                <w:szCs w:val="20"/>
              </w:rPr>
              <w:t xml:space="preserve">Open Divisions › Response Mgmt › Libraries. The page loads every response library in the org with its current division.</w:t>
            </w:r>
          </w:p>
          <w:p>
            <w:pPr>
              <w:pStyle w:val="ListParagraph"/>
              <w:numPr>
                <w:ilvl w:val="0"/>
                <w:numId w:val="3"/>
              </w:numPr>
              <w:spacing w:after="40"/>
            </w:pPr>
            <w:r>
              <w:rPr>
                <w:rFonts w:ascii="Calibri" w:cs="Calibri" w:eastAsia="Calibri" w:hAnsi="Calibri"/>
                <w:color w:val="1F2A37"/>
                <w:sz w:val="20"/>
                <w:szCs w:val="20"/>
              </w:rPr>
              <w:t xml:space="preserve">Use the search box and any filter shown to narrow the list; confirm the count changes.</w:t>
            </w:r>
          </w:p>
          <w:p>
            <w:pPr>
              <w:pStyle w:val="ListParagraph"/>
              <w:numPr>
                <w:ilvl w:val="0"/>
                <w:numId w:val="3"/>
              </w:numPr>
              <w:spacing w:after="40"/>
            </w:pPr>
            <w:r>
              <w:rPr>
                <w:rFonts w:ascii="Calibri" w:cs="Calibri" w:eastAsia="Calibri" w:hAnsi="Calibri"/>
                <w:color w:val="1F2A37"/>
                <w:sz w:val="20"/>
                <w:szCs w:val="20"/>
              </w:rPr>
              <w:t xml:space="preserve">Tick one or more response librarys, pick a target division in the dropdown, and click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list loads with a division column populated.</w:t>
            </w:r>
          </w:p>
          <w:p>
            <w:pPr>
              <w:pStyle w:val="ListParagraph"/>
              <w:numPr>
                <w:ilvl w:val="0"/>
                <w:numId w:val="2"/>
              </w:numPr>
              <w:spacing w:after="40"/>
            </w:pPr>
            <w:r>
              <w:rPr>
                <w:rFonts w:ascii="Calibri" w:cs="Calibri" w:eastAsia="Calibri" w:hAnsi="Calibri"/>
                <w:color w:val="1F2A37"/>
                <w:sz w:val="20"/>
                <w:szCs w:val="20"/>
              </w:rPr>
              <w:t xml:space="preserve">Filtering narrows the rows; clearing it restores them.</w:t>
            </w:r>
          </w:p>
          <w:p>
            <w:pPr>
              <w:pStyle w:val="ListParagraph"/>
              <w:numPr>
                <w:ilvl w:val="0"/>
                <w:numId w:val="2"/>
              </w:numPr>
              <w:spacing w:after="40"/>
            </w:pPr>
            <w:r>
              <w:rPr>
                <w:rFonts w:ascii="Calibri" w:cs="Calibri" w:eastAsia="Calibri" w:hAnsi="Calibri"/>
                <w:color w:val="1F2A37"/>
                <w:sz w:val="20"/>
                <w:szCs w:val="20"/>
              </w:rPr>
              <w:t xml:space="preserve">After Apply, each moved item shows the new division and the result panel lists success per item.</w:t>
            </w:r>
          </w:p>
          <w:p>
            <w:pPr>
              <w:pStyle w:val="ListParagraph"/>
              <w:numPr>
                <w:ilvl w:val="0"/>
                <w:numId w:val="2"/>
              </w:numPr>
              <w:spacing w:after="40"/>
            </w:pPr>
            <w:r>
              <w:rPr>
                <w:rFonts w:ascii="Calibri" w:cs="Calibri" w:eastAsia="Calibri" w:hAnsi="Calibri"/>
                <w:color w:val="1F2A37"/>
                <w:sz w:val="20"/>
                <w:szCs w:val="20"/>
              </w:rPr>
              <w:t xml:space="preserve">Refreshing the page shows the objects in their new division.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C.5.34  </w:t>
            </w:r>
            <w:r>
              <w:rPr>
                <w:rFonts w:ascii="Calibri" w:cs="Calibri" w:eastAsia="Calibri" w:hAnsi="Calibri"/>
                <w:b/>
                <w:bCs/>
                <w:color w:val="1F2A37"/>
                <w:sz w:val="22"/>
                <w:szCs w:val="22"/>
              </w:rPr>
              <w:t xml:space="preserve">Export › Scheduled Exports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Export › Scheduled Exports.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Every schedule you created is listed (exports and overage alerts) with type, org, cadence, last run. Only your own can be edited or deleted. Schedules created by Demo users are not shown.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C.5.35  </w:t>
            </w:r>
            <w:r>
              <w:rPr>
                <w:rFonts w:ascii="Calibri" w:cs="Calibri" w:eastAsia="Calibri" w:hAnsi="Calibri"/>
                <w:b/>
                <w:bCs/>
                <w:color w:val="1F2A37"/>
                <w:sz w:val="22"/>
                <w:szCs w:val="22"/>
              </w:rPr>
              <w:t xml:space="preserve">Export › Roles › Single Org</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Export › Roles › Single Org and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An .xlsx with Name / Description / Members for every role in Test IE, sorted by name.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C.5.36  </w:t>
            </w:r>
            <w:r>
              <w:rPr>
                <w:rFonts w:ascii="Calibri" w:cs="Calibri" w:eastAsia="Calibri" w:hAnsi="Calibri"/>
                <w:b/>
                <w:bCs/>
                <w:color w:val="1F2A37"/>
                <w:sz w:val="22"/>
                <w:szCs w:val="22"/>
              </w:rPr>
              <w:t xml:space="preserve">Export › Licenses › Consumption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Export › Licenses › Consumption and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An .xlsx with Name / Email / Division and one TRUE/FALSE column per licence.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C.5.37  </w:t>
            </w:r>
            <w:r>
              <w:rPr>
                <w:rFonts w:ascii="Calibri" w:cs="Calibri" w:eastAsia="Calibri" w:hAnsi="Calibri"/>
                <w:b/>
                <w:bCs/>
                <w:color w:val="1F2A37"/>
                <w:sz w:val="22"/>
                <w:szCs w:val="22"/>
              </w:rPr>
              <w:t xml:space="preserve">Export › Documentation › Create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Export › Documentation › Create and run. Wait.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server-side export completes (it can take ~30 seconds) and the XLSX or ZIP downloads.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C.5.38  </w:t>
            </w:r>
            <w:r>
              <w:rPr>
                <w:rFonts w:ascii="Calibri" w:cs="Calibri" w:eastAsia="Calibri" w:hAnsi="Calibri"/>
                <w:b/>
                <w:bCs/>
                <w:color w:val="1F2A37"/>
                <w:sz w:val="22"/>
                <w:szCs w:val="22"/>
              </w:rPr>
              <w:t xml:space="preserve">Export › Interactions › Totals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Export › Interactions › Totals, pick a period, load.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Bar charts by media type, direction and the third grouping render with totals.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C.5.39  </w:t>
            </w:r>
            <w:r>
              <w:rPr>
                <w:rFonts w:ascii="Calibri" w:cs="Calibri" w:eastAsia="Calibri" w:hAnsi="Calibri"/>
                <w:b/>
                <w:bCs/>
                <w:color w:val="1F2A37"/>
                <w:sz w:val="22"/>
                <w:szCs w:val="22"/>
              </w:rPr>
              <w:t xml:space="preserve">Export › Users › All Groups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Run Export › Users › All Groups.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One row per user-group combination, users without groups as a single row with an empty Group.</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C.5.40  </w:t>
            </w:r>
            <w:r>
              <w:rPr>
                <w:rFonts w:ascii="Calibri" w:cs="Calibri" w:eastAsia="Calibri" w:hAnsi="Calibri"/>
                <w:b/>
                <w:bCs/>
                <w:color w:val="1F2A37"/>
                <w:sz w:val="22"/>
                <w:szCs w:val="22"/>
              </w:rPr>
              <w:t xml:space="preserve">Export › Users › All Roles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Run Export › Users › All Roles.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One row per user / role / source; users with no roles excluded.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C.5.41  </w:t>
            </w:r>
            <w:r>
              <w:rPr>
                <w:rFonts w:ascii="Calibri" w:cs="Calibri" w:eastAsia="Calibri" w:hAnsi="Calibri"/>
                <w:b/>
                <w:bCs/>
                <w:color w:val="1F2A37"/>
                <w:sz w:val="22"/>
                <w:szCs w:val="22"/>
              </w:rPr>
              <w:t xml:space="preserve">Export › Users › Filtered on Role(s)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Filtered on Role(s), tick two roles,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One row per active user holding at least one of them, one boolean column per selected role.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C.5.42  </w:t>
            </w:r>
            <w:r>
              <w:rPr>
                <w:rFonts w:ascii="Calibri" w:cs="Calibri" w:eastAsia="Calibri" w:hAnsi="Calibri"/>
                <w:b/>
                <w:bCs/>
                <w:color w:val="1F2A37"/>
                <w:sz w:val="22"/>
                <w:szCs w:val="22"/>
              </w:rPr>
              <w:t xml:space="preserve">Export › Users › Last Login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Last Login; optionally set an inactivity filter;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Users with last-login and licence columns; the inactivity filter removes recently active users.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C.5.43  </w:t>
            </w:r>
            <w:r>
              <w:rPr>
                <w:rFonts w:ascii="Calibri" w:cs="Calibri" w:eastAsia="Calibri" w:hAnsi="Calibri"/>
                <w:b/>
                <w:bCs/>
                <w:color w:val="1F2A37"/>
                <w:sz w:val="22"/>
                <w:szCs w:val="22"/>
              </w:rPr>
              <w:t xml:space="preserve">Export › Users › Queues/Skills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Queues/Skills; pick at least one filter (e.g. a queue); load;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Loading is refused until a filter is set; results list users with their queues and skills; the export downloads.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C.5.44  </w:t>
            </w:r>
            <w:r>
              <w:rPr>
                <w:rFonts w:ascii="Calibri" w:cs="Calibri" w:eastAsia="Calibri" w:hAnsi="Calibri"/>
                <w:b/>
                <w:bCs/>
                <w:color w:val="1F2A37"/>
                <w:sz w:val="22"/>
                <w:szCs w:val="22"/>
              </w:rPr>
              <w:t xml:space="preserve">Export › Users › Skill/Role/Queue Templates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Run Export › Users › Skill/Role/Queue Templates.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 multi-sheet workbook: Overview, Roles, Skills, and the other template sheets.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C.5.45  </w:t>
            </w:r>
            <w:r>
              <w:rPr>
                <w:rFonts w:ascii="Calibri" w:cs="Calibri" w:eastAsia="Calibri" w:hAnsi="Calibri"/>
                <w:b/>
                <w:bCs/>
                <w:color w:val="1F2A37"/>
                <w:sz w:val="22"/>
                <w:szCs w:val="22"/>
              </w:rPr>
              <w:t xml:space="preserve">Scheduling an export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On any export page with a schedule panel (e.g. Roles › Single Org), create a daily schedule a few minutes ahead with your e-mail.</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schedule appears in Scheduled Exports; the mail with the attachment arrives; Last run shows Success.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C.5.46  </w:t>
            </w:r>
            <w:r>
              <w:rPr>
                <w:rFonts w:ascii="Calibri" w:cs="Calibri" w:eastAsia="Calibri" w:hAnsi="Calibri"/>
                <w:b/>
                <w:bCs/>
                <w:color w:val="1F2A37"/>
                <w:sz w:val="22"/>
                <w:szCs w:val="22"/>
              </w:rPr>
              <w:t xml:space="preserve">Flows › Flow Overview</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Flows › Flow Overview, pick a flow. Switch the three detail levels; use the cross-reference search to jump to a node; export the dependencies.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graph renders and re-renders per level; the search jumps to the right node; the All-flows export downloads.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C.5.47  </w:t>
            </w:r>
            <w:r>
              <w:rPr>
                <w:rFonts w:ascii="Calibri" w:cs="Calibri" w:eastAsia="Calibri" w:hAnsi="Calibri"/>
                <w:b/>
                <w:bCs/>
                <w:color w:val="1F2A37"/>
                <w:sz w:val="22"/>
                <w:szCs w:val="22"/>
              </w:rPr>
              <w:t xml:space="preserve">Flows › Journey Flow</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Flows › Journey Flow, pick a flow.</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An interactive SVG of the journey path renders, close to Architect's own view.</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C.5.48  </w:t>
            </w:r>
            <w:r>
              <w:rPr>
                <w:rFonts w:ascii="Calibri" w:cs="Calibri" w:eastAsia="Calibri" w:hAnsi="Calibri"/>
                <w:b/>
                <w:bCs/>
                <w:color w:val="1F2A37"/>
                <w:sz w:val="22"/>
                <w:szCs w:val="22"/>
              </w:rPr>
              <w:t xml:space="preserve">GDPR › Subject Request — an Article 15 (Access) request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GDPR › Subject Request. Do this early: Genesys takes 1–2 business days to complete an Access request, and the Request Status / Export Reader cases below need the finished archive.</w:t>
            </w:r>
          </w:p>
          <w:p>
            <w:pPr>
              <w:pStyle w:val="ListParagraph"/>
              <w:numPr>
                <w:ilvl w:val="0"/>
                <w:numId w:val="3"/>
              </w:numPr>
              <w:spacing w:after="40"/>
            </w:pPr>
            <w:r>
              <w:rPr>
                <w:rFonts w:ascii="Calibri" w:cs="Calibri" w:eastAsia="Calibri" w:hAnsi="Calibri"/>
                <w:color w:val="1F2A37"/>
                <w:sz w:val="20"/>
                <w:szCs w:val="20"/>
              </w:rPr>
              <w:t xml:space="preserve">Choose the Access request type and read the panel that appears under the type cards.</w:t>
            </w:r>
          </w:p>
          <w:p>
            <w:pPr>
              <w:pStyle w:val="ListParagraph"/>
              <w:numPr>
                <w:ilvl w:val="0"/>
                <w:numId w:val="3"/>
              </w:numPr>
              <w:spacing w:after="40"/>
            </w:pPr>
            <w:r>
              <w:rPr>
                <w:rFonts w:ascii="Calibri" w:cs="Calibri" w:eastAsia="Calibri" w:hAnsi="Calibri"/>
                <w:color w:val="1F2A37"/>
                <w:sz w:val="20"/>
                <w:szCs w:val="20"/>
              </w:rPr>
              <w:t xml:space="preserve">Type one identifier for a test subject (an e-mail or phone number) and press Search. Tick the match and press Proceed.</w:t>
            </w:r>
          </w:p>
          <w:p>
            <w:pPr>
              <w:pStyle w:val="ListParagraph"/>
              <w:numPr>
                <w:ilvl w:val="0"/>
                <w:numId w:val="3"/>
              </w:numPr>
              <w:spacing w:after="40"/>
            </w:pPr>
            <w:r>
              <w:rPr>
                <w:rFonts w:ascii="Calibri" w:cs="Calibri" w:eastAsia="Calibri" w:hAnsi="Calibri"/>
                <w:color w:val="1F2A37"/>
                <w:sz w:val="20"/>
                <w:szCs w:val="20"/>
              </w:rPr>
              <w:t xml:space="preserve">Read the confirmation step, then Submit. Press → View Request Status on the success panel.</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Steps 2–4 are greyed until the step before is done; Search stays disabled until an identifier is typed.</w:t>
            </w:r>
          </w:p>
          <w:p>
            <w:pPr>
              <w:pStyle w:val="ListParagraph"/>
              <w:numPr>
                <w:ilvl w:val="0"/>
                <w:numId w:val="2"/>
              </w:numPr>
              <w:spacing w:after="40"/>
            </w:pPr>
            <w:r>
              <w:rPr>
                <w:rFonts w:ascii="Calibri" w:cs="Calibri" w:eastAsia="Calibri" w:hAnsi="Calibri"/>
                <w:color w:val="1F2A37"/>
                <w:sz w:val="20"/>
                <w:szCs w:val="20"/>
              </w:rPr>
              <w:t xml:space="preserve">The panel says an Access export is a ZIP archive of flat service!id files — conversation records, the subject's call recordings as .opus audio, contact data, surveys, billing records — and that Genesys does not document it. It does not say recordings are excluded.</w:t>
            </w:r>
          </w:p>
          <w:p>
            <w:pPr>
              <w:pStyle w:val="ListParagraph"/>
              <w:numPr>
                <w:ilvl w:val="0"/>
                <w:numId w:val="2"/>
              </w:numPr>
              <w:spacing w:after="40"/>
            </w:pPr>
            <w:r>
              <w:rPr>
                <w:rFonts w:ascii="Calibri" w:cs="Calibri" w:eastAsia="Calibri" w:hAnsi="Calibri"/>
                <w:color w:val="1F2A37"/>
                <w:sz w:val="20"/>
                <w:szCs w:val="20"/>
              </w:rPr>
              <w:t xml:space="preserve">Step 3 lists the match; step 4 names the customer org (Test IE) and the selected subject.</w:t>
            </w:r>
          </w:p>
          <w:p>
            <w:pPr>
              <w:pStyle w:val="ListParagraph"/>
              <w:numPr>
                <w:ilvl w:val="0"/>
                <w:numId w:val="2"/>
              </w:numPr>
              <w:spacing w:after="40"/>
            </w:pPr>
            <w:r>
              <w:rPr>
                <w:rFonts w:ascii="Calibri" w:cs="Calibri" w:eastAsia="Calibri" w:hAnsi="Calibri"/>
                <w:color w:val="1F2A37"/>
                <w:sz w:val="20"/>
                <w:szCs w:val="20"/>
              </w:rPr>
              <w:t xml:space="preserve">The success panel shows one Request ID with a working Copy button; → View Request Status lands on Request Status with the new request in the list.</w:t>
            </w:r>
          </w:p>
          <w:p>
            <w:pPr>
              <w:pStyle w:val="ListParagraph"/>
              <w:numPr>
                <w:ilvl w:val="0"/>
                <w:numId w:val="2"/>
              </w:numPr>
              <w:spacing w:after="40"/>
            </w:pPr>
            <w:r>
              <w:rPr>
                <w:rFonts w:ascii="Calibri" w:cs="Calibri" w:eastAsia="Calibri" w:hAnsi="Calibri"/>
                <w:color w:val="1F2A37"/>
                <w:sz w:val="20"/>
                <w:szCs w:val="20"/>
              </w:rPr>
              <w:t xml:space="preserve">Admin › Activity Log shows a GDPR Subject Search row naming only the identifier type (not the value) and a GDPR Request row for the submission.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C.5.49  </w:t>
            </w:r>
            <w:r>
              <w:rPr>
                <w:rFonts w:ascii="Calibri" w:cs="Calibri" w:eastAsia="Calibri" w:hAnsi="Calibri"/>
                <w:b/>
                <w:bCs/>
                <w:color w:val="1F2A37"/>
                <w:sz w:val="22"/>
                <w:szCs w:val="22"/>
              </w:rPr>
              <w:t xml:space="preserve">GDPR › Request Status — the list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GDPR › Request Status with Test IE selected. Do not press anything.</w:t>
            </w:r>
          </w:p>
          <w:p>
            <w:pPr>
              <w:pStyle w:val="ListParagraph"/>
              <w:numPr>
                <w:ilvl w:val="0"/>
                <w:numId w:val="3"/>
              </w:numPr>
              <w:spacing w:after="40"/>
            </w:pPr>
            <w:r>
              <w:rPr>
                <w:rFonts w:ascii="Calibri" w:cs="Calibri" w:eastAsia="Calibri" w:hAnsi="Calibri"/>
                <w:color w:val="1F2A37"/>
                <w:sz w:val="20"/>
                <w:szCs w:val="20"/>
              </w:rPr>
              <w:t xml:space="preserve">Read the columns, the Status column and the Submitted by column for the request you raised above.</w:t>
            </w:r>
          </w:p>
          <w:p>
            <w:pPr>
              <w:pStyle w:val="ListParagraph"/>
              <w:numPr>
                <w:ilvl w:val="0"/>
                <w:numId w:val="3"/>
              </w:numPr>
              <w:spacing w:after="40"/>
            </w:pPr>
            <w:r>
              <w:rPr>
                <w:rFonts w:ascii="Calibri" w:cs="Calibri" w:eastAsia="Calibri" w:hAnsi="Calibri"/>
                <w:color w:val="1F2A37"/>
                <w:sz w:val="20"/>
                <w:szCs w:val="20"/>
              </w:rPr>
              <w:t xml:space="preserve">Filter by type, then by status, then reset. Read the “Reading this page” panel at the top.</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table loads by itself. Columns: Date, Type, Subject, Subject Type, Status, Submitted by, Details, Request ID — there is no Completed column.</w:t>
            </w:r>
          </w:p>
          <w:p>
            <w:pPr>
              <w:pStyle w:val="ListParagraph"/>
              <w:numPr>
                <w:ilvl w:val="0"/>
                <w:numId w:val="2"/>
              </w:numPr>
              <w:spacing w:after="40"/>
            </w:pPr>
            <w:r>
              <w:rPr>
                <w:rFonts w:ascii="Calibri" w:cs="Calibri" w:eastAsia="Calibri" w:hAnsi="Calibri"/>
                <w:color w:val="1F2A37"/>
                <w:sz w:val="20"/>
                <w:szCs w:val="20"/>
              </w:rPr>
              <w:t xml:space="preserve">Status reads in English (Initiated, Searching…, Updating…, Completed, Error), never raw IN_PROGRESS-style text. Subject shows a person's name, not a bare id.</w:t>
            </w:r>
          </w:p>
          <w:p>
            <w:pPr>
              <w:pStyle w:val="ListParagraph"/>
              <w:numPr>
                <w:ilvl w:val="0"/>
                <w:numId w:val="2"/>
              </w:numPr>
              <w:spacing w:after="40"/>
            </w:pPr>
            <w:r>
              <w:rPr>
                <w:rFonts w:ascii="Calibri" w:cs="Calibri" w:eastAsia="Calibri" w:hAnsi="Calibri"/>
                <w:color w:val="1F2A37"/>
                <w:sz w:val="20"/>
                <w:szCs w:val="20"/>
              </w:rPr>
              <w:t xml:space="preserve">Your request shows your own name with a small ·app marker; hovering it names your e-mail. Requests raised before the app recorded ids read “API client” in italics.</w:t>
            </w:r>
          </w:p>
          <w:p>
            <w:pPr>
              <w:pStyle w:val="ListParagraph"/>
              <w:numPr>
                <w:ilvl w:val="0"/>
                <w:numId w:val="2"/>
              </w:numPr>
              <w:spacing w:after="40"/>
            </w:pPr>
            <w:r>
              <w:rPr>
                <w:rFonts w:ascii="Calibri" w:cs="Calibri" w:eastAsia="Calibri" w:hAnsi="Calibri"/>
                <w:color w:val="1F2A37"/>
                <w:sz w:val="20"/>
                <w:szCs w:val="20"/>
              </w:rPr>
              <w:t xml:space="preserve">Filters update the counts and the footer says how many rows are hidden.</w:t>
            </w:r>
          </w:p>
          <w:p>
            <w:pPr>
              <w:pStyle w:val="ListParagraph"/>
              <w:numPr>
                <w:ilvl w:val="0"/>
                <w:numId w:val="2"/>
              </w:numPr>
              <w:spacing w:after="40"/>
            </w:pPr>
            <w:r>
              <w:rPr>
                <w:rFonts w:ascii="Calibri" w:cs="Calibri" w:eastAsia="Calibri" w:hAnsi="Calibri"/>
                <w:color w:val="1F2A37"/>
                <w:sz w:val="20"/>
                <w:szCs w:val="20"/>
              </w:rPr>
              <w:t xml:space="preserve">The panel says Access downloads are a ZIP archive that opens in a new tab, that Download links are minted when the page loads, and that a link Genesys no longer serves reads Expired.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C.5.50  </w:t>
            </w:r>
            <w:r>
              <w:rPr>
                <w:rFonts w:ascii="Calibri" w:cs="Calibri" w:eastAsia="Calibri" w:hAnsi="Calibri"/>
                <w:b/>
                <w:bCs/>
                <w:color w:val="1F2A37"/>
                <w:sz w:val="22"/>
                <w:szCs w:val="22"/>
              </w:rPr>
              <w:t xml:space="preserve">GDPR › Request Status — downloading the Access archive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Prerequisite: the Access request above reads Completed, and the Test IE Client Application's Iframe Sandbox Options include allow-downloads (customer-onboarding.md, Step 6). Without the flag the download cannot work from inside Genesys — check it before you start.</w:t>
            </w:r>
          </w:p>
          <w:p>
            <w:pPr>
              <w:pStyle w:val="ListParagraph"/>
              <w:numPr>
                <w:ilvl w:val="0"/>
                <w:numId w:val="3"/>
              </w:numPr>
              <w:spacing w:after="40"/>
            </w:pPr>
            <w:r>
              <w:rPr>
                <w:rFonts w:ascii="Calibri" w:cs="Calibri" w:eastAsia="Calibri" w:hAnsi="Calibri"/>
                <w:color w:val="1F2A37"/>
                <w:sz w:val="20"/>
                <w:szCs w:val="20"/>
              </w:rPr>
              <w:t xml:space="preserve">Press Load / Refresh. Left-click Download on the completed Access request.</w:t>
            </w:r>
          </w:p>
          <w:p>
            <w:pPr>
              <w:pStyle w:val="ListParagraph"/>
              <w:numPr>
                <w:ilvl w:val="0"/>
                <w:numId w:val="3"/>
              </w:numPr>
              <w:spacing w:after="40"/>
            </w:pPr>
            <w:r>
              <w:rPr>
                <w:rFonts w:ascii="Calibri" w:cs="Calibri" w:eastAsia="Calibri" w:hAnsi="Calibri"/>
                <w:color w:val="1F2A37"/>
                <w:sz w:val="20"/>
                <w:szCs w:val="20"/>
              </w:rPr>
              <w:t xml:space="preserve">Open the saved archive and look at the file names.</w:t>
            </w:r>
          </w:p>
          <w:p>
            <w:pPr>
              <w:pStyle w:val="ListParagraph"/>
              <w:numPr>
                <w:ilvl w:val="0"/>
                <w:numId w:val="3"/>
              </w:numPr>
              <w:spacing w:after="40"/>
            </w:pPr>
            <w:r>
              <w:rPr>
                <w:rFonts w:ascii="Calibri" w:cs="Calibri" w:eastAsia="Calibri" w:hAnsi="Calibri"/>
                <w:color w:val="1F2A37"/>
                <w:sz w:val="20"/>
                <w:szCs w:val="20"/>
              </w:rPr>
              <w:t xml:space="preserve">Leave the page open for an hour or more, then click Download again. Then press Load / Refresh and click once more.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 new tab opens and the browser saves results-&lt;request id&gt;-&lt;timestamp&gt;.zip (to the default folder, or with a Save As prompt if the browser is set to ask). If a blank tab opens instead, the sandbox flag is missing: right-click → Open link in new tab still downloads. Record that as Blocked with a note, and have the flag added.</w:t>
            </w:r>
          </w:p>
          <w:p>
            <w:pPr>
              <w:pStyle w:val="ListParagraph"/>
              <w:numPr>
                <w:ilvl w:val="0"/>
                <w:numId w:val="2"/>
              </w:numPr>
              <w:spacing w:after="40"/>
            </w:pPr>
            <w:r>
              <w:rPr>
                <w:rFonts w:ascii="Calibri" w:cs="Calibri" w:eastAsia="Calibri" w:hAnsi="Calibri"/>
                <w:color w:val="1F2A37"/>
                <w:sz w:val="20"/>
                <w:szCs w:val="20"/>
              </w:rPr>
              <w:t xml:space="preserve">The archive is flat — no folders — with names like analytics!&lt;uuid&gt;, recording!…_Rec_….opus, contacts-service!externalContact.json, quality!Survey_….json, billing-service!&lt;uuid&gt;. Call recordings are present as .opus audio.</w:t>
            </w:r>
          </w:p>
          <w:p>
            <w:pPr>
              <w:pStyle w:val="ListParagraph"/>
              <w:numPr>
                <w:ilvl w:val="0"/>
                <w:numId w:val="2"/>
              </w:numPr>
              <w:spacing w:after="40"/>
            </w:pPr>
            <w:r>
              <w:rPr>
                <w:rFonts w:ascii="Calibri" w:cs="Calibri" w:eastAsia="Calibri" w:hAnsi="Calibri"/>
                <w:color w:val="1F2A37"/>
                <w:sz w:val="20"/>
                <w:szCs w:val="20"/>
              </w:rPr>
              <w:t xml:space="preserve">Admin › Activity Log shows a GDPR Export Download row naming the request id.</w:t>
            </w:r>
          </w:p>
          <w:p>
            <w:pPr>
              <w:pStyle w:val="ListParagraph"/>
              <w:numPr>
                <w:ilvl w:val="0"/>
                <w:numId w:val="2"/>
              </w:numPr>
              <w:spacing w:after="40"/>
            </w:pPr>
            <w:r>
              <w:rPr>
                <w:rFonts w:ascii="Calibri" w:cs="Calibri" w:eastAsia="Calibri" w:hAnsi="Calibri"/>
                <w:color w:val="1F2A37"/>
                <w:sz w:val="20"/>
                <w:szCs w:val="20"/>
              </w:rPr>
              <w:t xml:space="preserve">The stale click either still downloads or shows Genesys's own error for an expired signed link; after Load / Refresh the new link works. Write down how long the link stayed good.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C.5.51  </w:t>
            </w:r>
            <w:r>
              <w:rPr>
                <w:rFonts w:ascii="Calibri" w:cs="Calibri" w:eastAsia="Calibri" w:hAnsi="Calibri"/>
                <w:b/>
                <w:bCs/>
                <w:color w:val="1F2A37"/>
                <w:sz w:val="22"/>
                <w:szCs w:val="22"/>
              </w:rPr>
              <w:t xml:space="preserve">GDPR › Article 15 - Export Reader — reading an archive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GDPR › Article 15 - Export Reader. Open DevTools › Network before the next step.</w:t>
            </w:r>
          </w:p>
          <w:p>
            <w:pPr>
              <w:pStyle w:val="ListParagraph"/>
              <w:numPr>
                <w:ilvl w:val="0"/>
                <w:numId w:val="3"/>
              </w:numPr>
              <w:spacing w:after="40"/>
            </w:pPr>
            <w:r>
              <w:rPr>
                <w:rFonts w:ascii="Calibri" w:cs="Calibri" w:eastAsia="Calibri" w:hAnsi="Calibri"/>
                <w:color w:val="1F2A37"/>
                <w:sz w:val="20"/>
                <w:szCs w:val="20"/>
              </w:rPr>
              <w:t xml:space="preserve">Drag the archive from the previous case onto the drop zone. Afterwards, click the drop zone and pick the same archive from the file dialog.</w:t>
            </w:r>
          </w:p>
          <w:p>
            <w:pPr>
              <w:pStyle w:val="ListParagraph"/>
              <w:numPr>
                <w:ilvl w:val="0"/>
                <w:numId w:val="3"/>
              </w:numPr>
              <w:spacing w:after="40"/>
            </w:pPr>
            <w:r>
              <w:rPr>
                <w:rFonts w:ascii="Calibri" w:cs="Calibri" w:eastAsia="Calibri" w:hAnsi="Calibri"/>
                <w:color w:val="1F2A37"/>
                <w:sz w:val="20"/>
                <w:szCs w:val="20"/>
              </w:rPr>
              <w:t xml:space="preserve">Read the summary that appears. Then read the Network list and Admin › Activity Log.</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page renders with the drop zone and does not ask for an org — it needs none.</w:t>
            </w:r>
          </w:p>
          <w:p>
            <w:pPr>
              <w:pStyle w:val="ListParagraph"/>
              <w:numPr>
                <w:ilvl w:val="0"/>
                <w:numId w:val="2"/>
              </w:numPr>
              <w:spacing w:after="40"/>
            </w:pPr>
            <w:r>
              <w:rPr>
                <w:rFonts w:ascii="Calibri" w:cs="Calibri" w:eastAsia="Calibri" w:hAnsi="Calibri"/>
                <w:color w:val="1F2A37"/>
                <w:sz w:val="20"/>
                <w:szCs w:val="20"/>
              </w:rPr>
              <w:t xml:space="preserve">The zone highlights while the file hovers over it; on drop a “Reading… N / M” counter runs and ends in a green “Read N files.” The click-to-choose route gives the same result. A large export (tens of thousands of files) finishes well under a minute with the page still responsive — note the time.</w:t>
            </w:r>
          </w:p>
          <w:p>
            <w:pPr>
              <w:pStyle w:val="ListParagraph"/>
              <w:numPr>
                <w:ilvl w:val="0"/>
                <w:numId w:val="2"/>
              </w:numPr>
              <w:spacing w:after="40"/>
            </w:pPr>
            <w:r>
              <w:rPr>
                <w:rFonts w:ascii="Calibri" w:cs="Calibri" w:eastAsia="Calibri" w:hAnsi="Calibri"/>
                <w:color w:val="1F2A37"/>
                <w:sz w:val="20"/>
                <w:szCs w:val="20"/>
              </w:rPr>
              <w:t xml:space="preserve">The summary shows the subject's name with an External contact or Genesys user pill, the request id and export timestamp taken from the filename, a count for each category (Emails, Messages, Calls, Journey sessions, Attachments, Billing, Receipts…) and a “Nothing for:” line naming the empty categories.</w:t>
            </w:r>
          </w:p>
          <w:p>
            <w:pPr>
              <w:pStyle w:val="ListParagraph"/>
              <w:numPr>
                <w:ilvl w:val="0"/>
                <w:numId w:val="2"/>
              </w:numPr>
              <w:spacing w:after="40"/>
            </w:pPr>
            <w:r>
              <w:rPr>
                <w:rFonts w:ascii="Calibri" w:cs="Calibri" w:eastAsia="Calibri" w:hAnsi="Calibri"/>
                <w:color w:val="1F2A37"/>
                <w:sz w:val="20"/>
                <w:szCs w:val="20"/>
              </w:rPr>
              <w:t xml:space="preserve">No network request carries archive content — no call to /api/genesys-proxy at all, only the activity-log write. Activity Log shows a GDPR Export Read row with the request id and the file count, and nothing from inside the archive.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C.5.52  </w:t>
            </w:r>
            <w:r>
              <w:rPr>
                <w:rFonts w:ascii="Calibri" w:cs="Calibri" w:eastAsia="Calibri" w:hAnsi="Calibri"/>
                <w:b/>
                <w:bCs/>
                <w:color w:val="1F2A37"/>
                <w:sz w:val="22"/>
                <w:szCs w:val="22"/>
              </w:rPr>
              <w:t xml:space="preserve">GDPR › Article 15 - Export Reader — the workbook</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With an archive read, press Save workbook and save the file.</w:t>
            </w:r>
          </w:p>
          <w:p>
            <w:pPr>
              <w:pStyle w:val="ListParagraph"/>
              <w:numPr>
                <w:ilvl w:val="0"/>
                <w:numId w:val="3"/>
              </w:numPr>
              <w:spacing w:after="40"/>
            </w:pPr>
            <w:r>
              <w:rPr>
                <w:rFonts w:ascii="Calibri" w:cs="Calibri" w:eastAsia="Calibri" w:hAnsi="Calibri"/>
                <w:color w:val="1F2A37"/>
                <w:sz w:val="20"/>
                <w:szCs w:val="20"/>
              </w:rPr>
              <w:t xml:space="preserve">Open it and go through the sheets: Summary, Subject, Emails, Messages, Calls, Conversations (whichever the archive has).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download.html opens with the native Save As dialog — this path works with or without allow-downloads. Filename GDPR_Access_&lt;name&gt;_&lt;request&gt;.xlsx.</w:t>
            </w:r>
          </w:p>
          <w:p>
            <w:pPr>
              <w:pStyle w:val="ListParagraph"/>
              <w:numPr>
                <w:ilvl w:val="0"/>
                <w:numId w:val="2"/>
              </w:numPr>
              <w:spacing w:after="40"/>
            </w:pPr>
            <w:r>
              <w:rPr>
                <w:rFonts w:ascii="Calibri" w:cs="Calibri" w:eastAsia="Calibri" w:hAnsi="Calibri"/>
                <w:color w:val="1F2A37"/>
                <w:sz w:val="20"/>
                <w:szCs w:val="20"/>
              </w:rPr>
              <w:t xml:space="preserve">Summary is the first sheet: subject, kind, request id, exported-at, the counts, a “Sheets left out” line matching the page's “Nothing for”, and the About / Calls / Receipts / Other people's details / Email bodies statements at the foot.</w:t>
            </w:r>
          </w:p>
          <w:p>
            <w:pPr>
              <w:pStyle w:val="ListParagraph"/>
              <w:numPr>
                <w:ilvl w:val="0"/>
                <w:numId w:val="2"/>
              </w:numPr>
              <w:spacing w:after="40"/>
            </w:pPr>
            <w:r>
              <w:rPr>
                <w:rFonts w:ascii="Calibri" w:cs="Calibri" w:eastAsia="Calibri" w:hAnsi="Calibri"/>
                <w:color w:val="1F2A37"/>
                <w:sz w:val="20"/>
                <w:szCs w:val="20"/>
              </w:rPr>
              <w:t xml:space="preserve">Subject: an external contact shows name, work e-mail, work phone and merge history; a Genesys user shows the profile (name, e-mail, department, skills) then Login, Station, Call forwarding.</w:t>
            </w:r>
          </w:p>
          <w:p>
            <w:pPr>
              <w:pStyle w:val="ListParagraph"/>
              <w:numPr>
                <w:ilvl w:val="0"/>
                <w:numId w:val="2"/>
              </w:numPr>
              <w:spacing w:after="40"/>
            </w:pPr>
            <w:r>
              <w:rPr>
                <w:rFonts w:ascii="Calibri" w:cs="Calibri" w:eastAsia="Calibri" w:hAnsi="Calibri"/>
                <w:color w:val="1F2A37"/>
                <w:sz w:val="20"/>
                <w:szCs w:val="20"/>
              </w:rPr>
              <w:t xml:space="preserve">Emails show From/To as Name &lt;email&gt; with a text Body and an Attachments list; routing-only records read “Email record (headers only)” with Body “(body not in export)”.</w:t>
            </w:r>
          </w:p>
          <w:p>
            <w:pPr>
              <w:pStyle w:val="ListParagraph"/>
              <w:numPr>
                <w:ilvl w:val="0"/>
                <w:numId w:val="2"/>
              </w:numPr>
              <w:spacing w:after="40"/>
            </w:pPr>
            <w:r>
              <w:rPr>
                <w:rFonts w:ascii="Calibri" w:cs="Calibri" w:eastAsia="Calibri" w:hAnsi="Calibri"/>
                <w:color w:val="1F2A37"/>
                <w:sz w:val="20"/>
                <w:szCs w:val="20"/>
              </w:rPr>
              <w:t xml:space="preserve">Messages: presence rows read [joined] / [left], not blank; no phone number of another person appears — it reads “(phone number withheld)” — and a bare id reads as its role, e.g. “(customer)”.</w:t>
            </w:r>
          </w:p>
          <w:p>
            <w:pPr>
              <w:pStyle w:val="ListParagraph"/>
              <w:numPr>
                <w:ilvl w:val="0"/>
                <w:numId w:val="2"/>
              </w:numPr>
              <w:spacing w:after="40"/>
            </w:pPr>
            <w:r>
              <w:rPr>
                <w:rFonts w:ascii="Calibri" w:cs="Calibri" w:eastAsia="Calibri" w:hAnsi="Calibri"/>
                <w:color w:val="1F2A37"/>
                <w:sz w:val="20"/>
                <w:szCs w:val="20"/>
              </w:rPr>
              <w:t xml:space="preserve">Calls: Duration as m:ss and Seconds as a number; an empty recording reads State empty with no duration; Transcribed by Genesys / Summarised by Genesys read “Yes — text not in export” or “No”, never transcript text.</w:t>
            </w:r>
          </w:p>
          <w:p>
            <w:pPr>
              <w:pStyle w:val="ListParagraph"/>
              <w:numPr>
                <w:ilvl w:val="0"/>
                <w:numId w:val="2"/>
              </w:numPr>
              <w:spacing w:after="40"/>
            </w:pPr>
            <w:r>
              <w:rPr>
                <w:rFonts w:ascii="Calibri" w:cs="Calibri" w:eastAsia="Calibri" w:hAnsi="Calibri"/>
                <w:color w:val="1F2A37"/>
                <w:sz w:val="20"/>
                <w:szCs w:val="20"/>
              </w:rPr>
              <w:t xml:space="preserve">Conversations: one row per conversation the subject took part in, oldest first, with first and last event timestamps and columns for what the archive holds for it (recordings, transcript, summary, outline, messages, e-mails, journey session, survey).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C.5.53  </w:t>
            </w:r>
            <w:r>
              <w:rPr>
                <w:rFonts w:ascii="Calibri" w:cs="Calibri" w:eastAsia="Calibri" w:hAnsi="Calibri"/>
                <w:b/>
                <w:bCs/>
                <w:color w:val="1F2A37"/>
                <w:sz w:val="22"/>
                <w:szCs w:val="22"/>
              </w:rPr>
              <w:t xml:space="preserve">GDPR › Article 15 - Export Reader — audio, attachments and bad input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Expand Audio and attachments. Press Save on one .opus file and on one image, if the archive has them. Press Save on a file and cancel the Save As dialog, then press it again.</w:t>
            </w:r>
          </w:p>
          <w:p>
            <w:pPr>
              <w:pStyle w:val="ListParagraph"/>
              <w:numPr>
                <w:ilvl w:val="0"/>
                <w:numId w:val="3"/>
              </w:numPr>
              <w:spacing w:after="40"/>
            </w:pPr>
            <w:r>
              <w:rPr>
                <w:rFonts w:ascii="Calibri" w:cs="Calibri" w:eastAsia="Calibri" w:hAnsi="Calibri"/>
                <w:color w:val="1F2A37"/>
                <w:sz w:val="20"/>
                <w:szCs w:val="20"/>
              </w:rPr>
              <w:t xml:space="preserve">Press Save all audio &amp; attachments (.zip, N MB).</w:t>
            </w:r>
          </w:p>
          <w:p>
            <w:pPr>
              <w:pStyle w:val="ListParagraph"/>
              <w:numPr>
                <w:ilvl w:val="0"/>
                <w:numId w:val="3"/>
              </w:numPr>
              <w:spacing w:after="40"/>
            </w:pPr>
            <w:r>
              <w:rPr>
                <w:rFonts w:ascii="Calibri" w:cs="Calibri" w:eastAsia="Calibri" w:hAnsi="Calibri"/>
                <w:color w:val="1F2A37"/>
                <w:sz w:val="20"/>
                <w:szCs w:val="20"/>
              </w:rPr>
              <w:t xml:space="preserve">Drop a file that is not a ZIP (any .txt). Then rename a copy of the archive to foo.zip and drop that.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Each single Save opens download.html with a Save As for that one file, with the right extension; the saved audio plays and the image opens. Cancelling breaks nothing and the button works again.</w:t>
            </w:r>
          </w:p>
          <w:p>
            <w:pPr>
              <w:pStyle w:val="ListParagraph"/>
              <w:numPr>
                <w:ilvl w:val="0"/>
                <w:numId w:val="2"/>
              </w:numPr>
              <w:spacing w:after="40"/>
            </w:pPr>
            <w:r>
              <w:rPr>
                <w:rFonts w:ascii="Calibri" w:cs="Calibri" w:eastAsia="Calibri" w:hAnsi="Calibri"/>
                <w:color w:val="1F2A37"/>
                <w:sz w:val="20"/>
                <w:szCs w:val="20"/>
              </w:rPr>
              <w:t xml:space="preserve">The Save-all button shows the total size. download.html opens at once reading “Preparing … Packing NN%”, then offers Save As for GDPR_Access_&lt;name&gt;_&lt;request&gt;_files.zip containing audio/ (empty recordings left out) and attachments/&lt;conversation id&gt;/ folders. Note how long it took. An archive with no audio and no attachments shows neither the file list nor the Save-all button — only Save workbook.</w:t>
            </w:r>
          </w:p>
          <w:p>
            <w:pPr>
              <w:pStyle w:val="ListParagraph"/>
              <w:numPr>
                <w:ilvl w:val="0"/>
                <w:numId w:val="2"/>
              </w:numPr>
              <w:spacing w:after="40"/>
            </w:pPr>
            <w:r>
              <w:rPr>
                <w:rFonts w:ascii="Calibri" w:cs="Calibri" w:eastAsia="Calibri" w:hAnsi="Calibri"/>
                <w:color w:val="1F2A37"/>
                <w:sz w:val="20"/>
                <w:szCs w:val="20"/>
              </w:rPr>
              <w:t xml:space="preserve">The .txt gives a red “Could not read the archive: …” line and the page stays usable. foo.zip still reads, with Request and Exported showing unknown and the Summary sheet saying the archive was renamed.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C.5.54  </w:t>
            </w:r>
            <w:r>
              <w:rPr>
                <w:rFonts w:ascii="Calibri" w:cs="Calibri" w:eastAsia="Calibri" w:hAnsi="Calibri"/>
                <w:b/>
                <w:bCs/>
                <w:color w:val="1F2A37"/>
                <w:sz w:val="22"/>
                <w:szCs w:val="22"/>
              </w:rPr>
              <w:t xml:space="preserve">Interactions › Disconnect — single and multiple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Interactions › Disconnect. Disconnect one conversation by ID; then several by ID.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Each ID reports success or a clear reason; the conversations end.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C.5.55  </w:t>
            </w:r>
            <w:r>
              <w:rPr>
                <w:rFonts w:ascii="Calibri" w:cs="Calibri" w:eastAsia="Calibri" w:hAnsi="Calibri"/>
                <w:b/>
                <w:bCs/>
                <w:color w:val="1F2A37"/>
                <w:sz w:val="22"/>
                <w:szCs w:val="22"/>
              </w:rPr>
              <w:t xml:space="preserve">Interactions › Disconnect — Empty Queue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Switch to Empty Queue mode; pick a queue; preview; then disconnect.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preview counts exactly what is waiting now (from analytics, not capped at 100); disconnecting empties the queue.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C.5.56  </w:t>
            </w:r>
            <w:r>
              <w:rPr>
                <w:rFonts w:ascii="Calibri" w:cs="Calibri" w:eastAsia="Calibri" w:hAnsi="Calibri"/>
                <w:b/>
                <w:bCs/>
                <w:color w:val="1F2A37"/>
                <w:sz w:val="22"/>
                <w:szCs w:val="22"/>
              </w:rPr>
              <w:t xml:space="preserve">Interactions › Search › Participant Data › Recent (&lt;48h)</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Recent, search the last day; click a row.</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Results return immediately; participant data loads for the clicked row.</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C.5.57  </w:t>
            </w:r>
            <w:r>
              <w:rPr>
                <w:rFonts w:ascii="Calibri" w:cs="Calibri" w:eastAsia="Calibri" w:hAnsi="Calibri"/>
                <w:b/>
                <w:bCs/>
                <w:color w:val="1F2A37"/>
                <w:sz w:val="22"/>
                <w:szCs w:val="22"/>
              </w:rPr>
              <w:t xml:space="preserve">Interactions › Search › Participant Data › Historical (&gt;48h)</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Historical, pick a range older than 48 hours and an attribute filter; search.</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async job runs and returns rows with participant attributes.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C.5.58  </w:t>
            </w:r>
            <w:r>
              <w:rPr>
                <w:rFonts w:ascii="Calibri" w:cs="Calibri" w:eastAsia="Calibri" w:hAnsi="Calibri"/>
                <w:b/>
                <w:bCs/>
                <w:color w:val="1F2A37"/>
                <w:sz w:val="22"/>
                <w:szCs w:val="22"/>
              </w:rPr>
              <w:t xml:space="preserve">Interactions › Search › Transcripts › Search</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Transcripts › Search, pick a day and optional time window; search.</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Conversations for the day are listed with whether a transcript exists; opening one shows the transcript with Agent / Customer speakers.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C.5.59  </w:t>
            </w:r>
            <w:r>
              <w:rPr>
                <w:rFonts w:ascii="Calibri" w:cs="Calibri" w:eastAsia="Calibri" w:hAnsi="Calibri"/>
                <w:b/>
                <w:bCs/>
                <w:color w:val="1F2A37"/>
                <w:sz w:val="22"/>
                <w:szCs w:val="22"/>
              </w:rPr>
              <w:t xml:space="preserve">Interactions › Move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Interactions › Move. Pick source and target queues and optional filters; Preview; then Move.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Preview reports what will be moved before anything happens; Move transfers them and reports per interaction.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C.5.60  </w:t>
            </w:r>
            <w:r>
              <w:rPr>
                <w:rFonts w:ascii="Calibri" w:cs="Calibri" w:eastAsia="Calibri" w:hAnsi="Calibri"/>
                <w:b/>
                <w:bCs/>
                <w:color w:val="1F2A37"/>
                <w:sz w:val="22"/>
                <w:szCs w:val="22"/>
              </w:rPr>
              <w:t xml:space="preserve">Phones › WebRTC › Change Site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Change Site; filter by group or division; pick phones and a target site; apply.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Review shows what will change; after confirming, the phones are on the new site.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C.5.61  </w:t>
            </w:r>
            <w:r>
              <w:rPr>
                <w:rFonts w:ascii="Calibri" w:cs="Calibri" w:eastAsia="Calibri" w:hAnsi="Calibri"/>
                <w:b/>
                <w:bCs/>
                <w:color w:val="1F2A37"/>
                <w:sz w:val="22"/>
                <w:szCs w:val="22"/>
              </w:rPr>
              <w:t xml:space="preserve">Phones › WebRTC › Create WebRTC</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Create WebRTC; run the report phase.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report lists exactly which users should have a WebRTC phone and do not; nothing is written until confirmed; confirming creates them.</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C.5.62  </w:t>
            </w:r>
            <w:r>
              <w:rPr>
                <w:rFonts w:ascii="Calibri" w:cs="Calibri" w:eastAsia="Calibri" w:hAnsi="Calibri"/>
                <w:b/>
                <w:bCs/>
                <w:color w:val="1F2A37"/>
                <w:sz w:val="22"/>
                <w:szCs w:val="22"/>
              </w:rPr>
              <w:t xml:space="preserve">Phones › WebRTC › Delete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Delete; run the report phase.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Only orphaned phones (no holder, or a deleted/deactivated holder) are listed; confirming deletes those and only those.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C.5.63  </w:t>
            </w:r>
            <w:r>
              <w:rPr>
                <w:rFonts w:ascii="Calibri" w:cs="Calibri" w:eastAsia="Calibri" w:hAnsi="Calibri"/>
                <w:b/>
                <w:bCs/>
                <w:color w:val="1F2A37"/>
                <w:sz w:val="22"/>
                <w:szCs w:val="22"/>
              </w:rPr>
              <w:t xml:space="preserve">Roles › Compare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Roles › Compare. Compare 2–10 roles; switch the mode toggle to the other modes.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Permission policies are shown side by side with differences highlighted; every mode loads.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C.5.64  </w:t>
            </w:r>
            <w:r>
              <w:rPr>
                <w:rFonts w:ascii="Calibri" w:cs="Calibri" w:eastAsia="Calibri" w:hAnsi="Calibri"/>
                <w:b/>
                <w:bCs/>
                <w:color w:val="1F2A37"/>
                <w:sz w:val="22"/>
                <w:szCs w:val="22"/>
              </w:rPr>
              <w:t xml:space="preserve">Roles › Permissions vs. Users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Permissions vs. Users. Search a permission (domain → entity → action). Switch to the WEM and STA licence tabs.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Users holding the permission are listed with the role and how it was obtained (direct or via group). The licence tabs name who triggers a WEM / STA licence, or say the base licence already includes it.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C.5.65  </w:t>
            </w:r>
            <w:r>
              <w:rPr>
                <w:rFonts w:ascii="Calibri" w:cs="Calibri" w:eastAsia="Calibri" w:hAnsi="Calibri"/>
                <w:b/>
                <w:bCs/>
                <w:color w:val="1F2A37"/>
                <w:sz w:val="22"/>
                <w:szCs w:val="22"/>
              </w:rPr>
              <w:t xml:space="preserve">Roles › Create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Roles › Create. Optionally pick a Templates entry; add permissions; Create.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role exists with the chosen permissions; the permission count matches the permissions, not the rows.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C.5.66  </w:t>
            </w:r>
            <w:r>
              <w:rPr>
                <w:rFonts w:ascii="Calibri" w:cs="Calibri" w:eastAsia="Calibri" w:hAnsi="Calibri"/>
                <w:b/>
                <w:bCs/>
                <w:color w:val="1F2A37"/>
                <w:sz w:val="22"/>
                <w:szCs w:val="22"/>
              </w:rPr>
              <w:t xml:space="preserve">Roles › Edit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Roles › Edit, pick a role, change a permission, save.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role's permissions update in Genesys.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C.5.67  </w:t>
            </w:r>
            <w:r>
              <w:rPr>
                <w:rFonts w:ascii="Calibri" w:cs="Calibri" w:eastAsia="Calibri" w:hAnsi="Calibri"/>
                <w:b/>
                <w:bCs/>
                <w:color w:val="1F2A37"/>
                <w:sz w:val="22"/>
                <w:szCs w:val="22"/>
              </w:rPr>
              <w:t xml:space="preserve">Roles › Copy › Copy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Roles › Copy › Copy; pick a role; review; create the copy.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 new role with the same permissions exists in Test IE.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C.5.68  </w:t>
            </w:r>
            <w:r>
              <w:rPr>
                <w:rFonts w:ascii="Calibri" w:cs="Calibri" w:eastAsia="Calibri" w:hAnsi="Calibri"/>
                <w:b/>
                <w:bCs/>
                <w:color w:val="1F2A37"/>
                <w:sz w:val="22"/>
                <w:szCs w:val="22"/>
              </w:rPr>
              <w:t xml:space="preserve">Users › Direct Routing › Add user(s)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Add user(s). Pick users; assign the directrouting tag to a phone or e-mail address; configure a backup; save.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Addresses carry the tag (one per media type); backup routing is set; the result panel reports per user.</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C.5.69  </w:t>
            </w:r>
            <w:r>
              <w:rPr>
                <w:rFonts w:ascii="Calibri" w:cs="Calibri" w:eastAsia="Calibri" w:hAnsi="Calibri"/>
                <w:b/>
                <w:bCs/>
                <w:color w:val="1F2A37"/>
                <w:sz w:val="22"/>
                <w:szCs w:val="22"/>
              </w:rPr>
              <w:t xml:space="preserve">Users › Roles, Queues &amp; Skills › Configure Users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Configure Users. Find users by search/group/role; tick some; apply roles, skills, languages and queues.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Each applied section reports success; the user rows show updated counts.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C.5.70  </w:t>
            </w:r>
            <w:r>
              <w:rPr>
                <w:rFonts w:ascii="Calibri" w:cs="Calibri" w:eastAsia="Calibri" w:hAnsi="Calibri"/>
                <w:b/>
                <w:bCs/>
                <w:color w:val="1F2A37"/>
                <w:sz w:val="22"/>
                <w:szCs w:val="22"/>
              </w:rPr>
              <w:t xml:space="preserve">Users › Roles, Queues &amp; Skills › Create/Edit Template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Create/Edit Template. Create a template with roles, skills (proficiency), languages and queues; edit it; delete a test one.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template is stored and reloads with its contents; sections the user lacks permission for are locked with the permission named.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C.5.71  </w:t>
            </w:r>
            <w:r>
              <w:rPr>
                <w:rFonts w:ascii="Calibri" w:cs="Calibri" w:eastAsia="Calibri" w:hAnsi="Calibri"/>
                <w:b/>
                <w:bCs/>
                <w:color w:val="1F2A37"/>
                <w:sz w:val="22"/>
                <w:szCs w:val="22"/>
              </w:rPr>
              <w:t xml:space="preserve">Users › Roles, Queues &amp; Skills › Manage Templates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Manage Templates. Select a template; add a user to it; remove one.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user receives the template's roles/skills/queues; removal takes them away; assigned users are listed.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C.5.72  </w:t>
            </w:r>
            <w:r>
              <w:rPr>
                <w:rFonts w:ascii="Calibri" w:cs="Calibri" w:eastAsia="Calibri" w:hAnsi="Calibri"/>
                <w:b/>
                <w:bCs/>
                <w:color w:val="1F2A37"/>
                <w:sz w:val="22"/>
                <w:szCs w:val="22"/>
              </w:rPr>
              <w:t xml:space="preserve">Users › Roles, Queues &amp; Skills › Template Schedules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Template Schedules.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Every template schedule for Test IE is listed; enable/disable and delete work.</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C.5.73  </w:t>
            </w:r>
            <w:r>
              <w:rPr>
                <w:rFonts w:ascii="Calibri" w:cs="Calibri" w:eastAsia="Calibri" w:hAnsi="Calibri"/>
                <w:b/>
                <w:bCs/>
                <w:color w:val="1F2A37"/>
                <w:sz w:val="22"/>
                <w:szCs w:val="22"/>
              </w:rPr>
              <w:t xml:space="preserve">Users › Roles, Queues &amp; Skills › Copy from User</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Copy from User. Pick a source user, one or more targets, tick categories;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For each ticked category the target's existing items are removed and the source's applied; the report lists per target.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C.5.74  </w:t>
            </w:r>
            <w:r>
              <w:rPr>
                <w:rFonts w:ascii="Calibri" w:cs="Calibri" w:eastAsia="Calibri" w:hAnsi="Calibri"/>
                <w:b/>
                <w:bCs/>
                <w:color w:val="1F2A37"/>
                <w:sz w:val="22"/>
                <w:szCs w:val="22"/>
              </w:rPr>
              <w:t xml:space="preserve">Wrapup Codes › Create/Edit/Mapping</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Wrapup Codes › Create/Edit/Mapping. Create a code; edit it; set its mapping flags.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Create, edit and mapping each succeed and the list reflects them.</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p>
      <w:pPr>
        <w:pStyle w:val="Heading2"/>
        <w:spacing w:after="120" w:before="240"/>
      </w:pPr>
      <w:r>
        <w:t xml:space="preserve">C.6 — Billing on Test IE (simulated)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C.6.1  </w:t>
            </w:r>
            <w:r>
              <w:rPr>
                <w:rFonts w:ascii="Calibri" w:cs="Calibri" w:eastAsia="Calibri" w:hAnsi="Calibri"/>
                <w:b/>
                <w:bCs/>
                <w:color w:val="1F2A37"/>
                <w:sz w:val="22"/>
                <w:szCs w:val="22"/>
              </w:rPr>
              <w:t xml:space="preserve">Billing Period (simulated)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Export › Billing › Billing Period. Wait for the periods; pick one; Run; download.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status line says the billing data is simulated and the Admin Tool count is real. The banner reads Test IE (SIMULATED). APPS section: Admin Tool = the number of named users (2). Admin Tool also appears under overage.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C.6.2  </w:t>
            </w:r>
            <w:r>
              <w:rPr>
                <w:rFonts w:ascii="Calibri" w:cs="Calibri" w:eastAsia="Calibri" w:hAnsi="Calibri"/>
                <w:b/>
                <w:bCs/>
                <w:color w:val="1F2A37"/>
                <w:sz w:val="22"/>
                <w:szCs w:val="22"/>
              </w:rPr>
              <w:t xml:space="preserve">Period Comparison (simulated)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Period Comparison; tick 2–4 periods; Run.</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No org dropdown on the page; Δ/% columns; an Admin Tool row per period. Nothing says "Matches the Python report".</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C.6.3  </w:t>
            </w:r>
            <w:r>
              <w:rPr>
                <w:rFonts w:ascii="Calibri" w:cs="Calibri" w:eastAsia="Calibri" w:hAnsi="Calibri"/>
                <w:b/>
                <w:bCs/>
                <w:color w:val="1F2A37"/>
                <w:sz w:val="22"/>
                <w:szCs w:val="22"/>
              </w:rPr>
              <w:t xml:space="preserve">Overage Alerts — create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Open Overage Alerts. The form is closed; click Create Alert.</w:t>
            </w:r>
          </w:p>
          <w:p>
            <w:pPr>
              <w:pStyle w:val="ListParagraph"/>
              <w:numPr>
                <w:ilvl w:val="0"/>
                <w:numId w:val="3"/>
              </w:numPr>
              <w:spacing w:after="40"/>
            </w:pPr>
            <w:r>
              <w:rPr>
                <w:rFonts w:ascii="Calibri" w:cs="Calibri" w:eastAsia="Calibri" w:hAnsi="Calibri"/>
                <w:color w:val="1F2A37"/>
                <w:sz w:val="20"/>
                <w:szCs w:val="20"/>
              </w:rPr>
              <w:t xml:space="preserve">Tick the WEM add-on, AI Tokens and Admin Tool &gt; 1. Daily (the Day selector is hidden). "Every run". Recipients is empty — enter your e-mail. Create; read the confirmation; OK.</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alert appears in the list. Within five minutes it runs once and Last run shows a timestamp + Success. A mail arrives listing WEM over, AI Tokens billable and Admin Tool 2 &gt; 1, noting the figures are simulated.</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C.6.4  </w:t>
            </w:r>
            <w:r>
              <w:rPr>
                <w:rFonts w:ascii="Calibri" w:cs="Calibri" w:eastAsia="Calibri" w:hAnsi="Calibri"/>
                <w:b/>
                <w:bCs/>
                <w:color w:val="1F2A37"/>
                <w:sz w:val="22"/>
                <w:szCs w:val="22"/>
              </w:rPr>
              <w:t xml:space="preserve">Overage Alerts — on change is silent while it stays over</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Delete the alert. Create the same alert with "Only when an item enters overage".</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first run mails (no prior state counts as entered). The next night's run sends nothing and Last run still shows Success.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C.6.5  </w:t>
            </w:r>
            <w:r>
              <w:rPr>
                <w:rFonts w:ascii="Calibri" w:cs="Calibri" w:eastAsia="Calibri" w:hAnsi="Calibri"/>
                <w:b/>
                <w:bCs/>
                <w:color w:val="1F2A37"/>
                <w:sz w:val="22"/>
                <w:szCs w:val="22"/>
              </w:rPr>
              <w:t xml:space="preserve">Overage Alerts — weekly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Create a weekly alert; pick a day.</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Day selector appears only when Weekly is chosen; the list shows "Weekly, &lt;day&gt; 00:00".</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9638"/>
            <w:gridSpan w:val="2"/>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20"/>
                <w:szCs w:val="20"/>
              </w:rPr>
              <w:t xml:space="preserve">C.6.6  </w:t>
            </w:r>
            <w:r>
              <w:rPr>
                <w:rFonts w:ascii="Calibri" w:cs="Calibri" w:eastAsia="Calibri" w:hAnsi="Calibri"/>
                <w:b/>
                <w:bCs/>
                <w:color w:val="1F2A37"/>
                <w:sz w:val="22"/>
                <w:szCs w:val="22"/>
              </w:rPr>
              <w:t xml:space="preserve">Overage Alerts — a removed user's alerts stop</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Steps</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3"/>
              </w:numPr>
              <w:spacing w:after="40"/>
            </w:pPr>
            <w:r>
              <w:rPr>
                <w:rFonts w:ascii="Calibri" w:cs="Calibri" w:eastAsia="Calibri" w:hAnsi="Calibri"/>
                <w:color w:val="1F2A37"/>
                <w:sz w:val="20"/>
                <w:szCs w:val="20"/>
              </w:rPr>
              <w:t xml:space="preserve">Have a Master Admin remove your user on Access to Admin Tool, then wait for the alert's next run (or check the Activity Log).</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Expected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color w:val="1F2A37"/>
                <w:sz w:val="20"/>
                <w:szCs w:val="20"/>
              </w:rPr>
              <w:t xml:space="preserve">The run is refused with "the user who created this alert no longer has access to the Admin Tool"; no mail. Re-add the user afterwards.</w:t>
            </w:r>
          </w:p>
        </w:tc>
      </w:tr>
      <w:t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Result</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Pass</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Fail</w:t>
            </w:r>
            <w:r>
              <w:rPr>
                <w:rFonts w:ascii="Calibri" w:cs="Calibri" w:eastAsia="Calibri" w:hAnsi="Calibri"/>
                <w:color w:val="1F2A37"/>
                <w:sz w:val="20"/>
                <w:szCs w:val="20"/>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color w:val="1F2A37"/>
                <w:sz w:val="22"/>
                <w:szCs w:val="22"/>
              </w:rPr>
              <w:t xml:space="preserve">  Blocked</w:t>
            </w:r>
          </w:p>
          <w:p>
            <w:pPr>
              <w:spacing w:after="40" w:before="80"/>
            </w:pPr>
            <w:r>
              <w:rPr>
                <w:rFonts w:ascii="Calibri" w:cs="Calibri" w:eastAsia="Calibri" w:hAnsi="Calibri"/>
                <w:color w:val="5B6B7B"/>
                <w:sz w:val="18"/>
                <w:szCs w:val="18"/>
              </w:rPr>
              <w:t xml:space="preserve">Tested by: ____________________________     Date: ______________</w:t>
            </w:r>
          </w:p>
        </w:tc>
      </w:tr>
      <w:tr>
        <w:trPr>
          <w:trHeight w:val="14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Notes</w:t>
            </w:r>
          </w:p>
        </w:tc>
        <w:tc>
          <w:tcPr>
            <w:tcW w:type="dxa" w:w="7938"/>
            <w:tcBorders>
              <w:top w:val="single" w:color="C9D2DC" w:sz="4"/>
              <w:left w:val="single" w:color="C9D2DC" w:sz="4"/>
              <w:bottom w:val="single" w:color="C9D2DC" w:sz="4"/>
              <w:right w:val="single" w:color="C9D2DC" w:sz="4"/>
            </w:tcBorders>
            <w:shd w:fill="FAFBFC" w:color="auto" w:val="clear"/>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p>
      <w:pPr>
        <w:spacing w:after="200"/>
      </w:pPr>
    </w:p>
    <w:p>
      <w:r>
        <w:br w:type="page"/>
      </w:r>
    </w:p>
    <w:p>
      <w:pPr>
        <w:pStyle w:val="Heading1"/>
        <w:spacing w:after="120" w:before="360"/>
      </w:pPr>
      <w:r>
        <w:t xml:space="preserve">Sign-off</w:t>
      </w:r>
    </w:p>
    <w:p>
      <w:pPr>
        <w:spacing w:after="100"/>
      </w:pPr>
      <w:r>
        <w:rPr>
          <w:rFonts w:ascii="Calibri" w:cs="Calibri" w:eastAsia="Calibri" w:hAnsi="Calibri"/>
          <w:color w:val="1F2A37"/>
          <w:sz w:val="20"/>
          <w:szCs w:val="20"/>
        </w:rPr>
        <w:t xml:space="preserve">135 cases. Count the results and record them here, then return the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rHeight w:val="5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Passed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r>
        <w:trPr>
          <w:trHeight w:val="5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Failed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r>
        <w:trPr>
          <w:trHeight w:val="5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Blocked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r>
        <w:trPr>
          <w:trHeight w:val="5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Tester</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r>
        <w:trPr>
          <w:trHeight w:val="5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Date completed</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r>
        <w:trPr>
          <w:trHeight w:val="5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Reviewed by</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r>
        <w:trPr>
          <w:trHeight w:val="500" w:hRule="atLeast"/>
        </w:trPr>
        <w:tc>
          <w:tcPr>
            <w:tcW w:type="dxa" w:w="1700"/>
            <w:tcBorders>
              <w:top w:val="single" w:color="C9D2DC" w:sz="4"/>
              <w:left w:val="single" w:color="C9D2DC" w:sz="4"/>
              <w:bottom w:val="single" w:color="C9D2DC" w:sz="4"/>
              <w:right w:val="single" w:color="C9D2DC" w:sz="4"/>
            </w:tcBorders>
            <w:shd w:fill="E8EEF4" w:color="auto" w:val="clear"/>
            <w:tcMar>
              <w:top w:type="dxa" w:w="80"/>
              <w:left w:type="dxa" w:w="120"/>
              <w:bottom w:type="dxa" w:w="80"/>
              <w:right w:type="dxa" w:w="120"/>
            </w:tcMar>
          </w:tcPr>
          <w:p>
            <w:pPr>
              <w:spacing w:after="60"/>
            </w:pPr>
            <w:r>
              <w:rPr>
                <w:rFonts w:ascii="Calibri" w:cs="Calibri" w:eastAsia="Calibri" w:hAnsi="Calibri"/>
                <w:b/>
                <w:bCs/>
                <w:color w:val="5B6B7B"/>
                <w:sz w:val="18"/>
                <w:szCs w:val="18"/>
              </w:rPr>
              <w:t xml:space="preserve">Review date</w:t>
            </w:r>
          </w:p>
        </w:tc>
        <w:tc>
          <w:tcPr>
            <w:tcW w:type="dxa" w:w="7938"/>
            <w:tcBorders>
              <w:top w:val="single" w:color="C9D2DC" w:sz="4"/>
              <w:left w:val="single" w:color="C9D2DC" w:sz="4"/>
              <w:bottom w:val="single" w:color="C9D2DC" w:sz="4"/>
              <w:right w:val="single" w:color="C9D2DC" w:sz="4"/>
            </w:tcBorders>
            <w:tcMar>
              <w:top w:type="dxa" w:w="80"/>
              <w:left w:type="dxa" w:w="120"/>
              <w:bottom w:type="dxa" w:w="80"/>
              <w:right w:type="dxa" w:w="120"/>
            </w:tcMar>
          </w:tcPr>
          <w:p>
            <w:pPr>
              <w:spacing w:after="60"/>
            </w:pPr>
            <w:r>
              <w:rPr>
                <w:rFonts w:ascii="Calibri" w:cs="Calibri" w:eastAsia="Calibri" w:hAnsi="Calibri"/>
                <w:color w:val="1F2A37"/>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B"/>
        <w:sz w:val="16"/>
        <w:szCs w:val="16"/>
      </w:rPr>
      <w:t xml:space="preserve">Page </w:t>
    </w:r>
    <w:r>
      <w:rPr>
        <w:rFonts w:ascii="Calibri" w:cs="Calibri" w:eastAsia="Calibri" w:hAnsi="Calibri"/>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B"/>
        <w:sz w:val="16"/>
        <w:szCs w:val="16"/>
      </w:rPr>
      <w:t xml:space="preserve">Genesys Admin Tool — Acceptance test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2A37"/>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2A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Genesys Admin Tool — Acceptance test cases</dc:title>
  <dc:creator>Genesys Admin App</dc:creator>
  <cp:lastModifiedBy>Un-named</cp:lastModifiedBy>
  <cp:revision>1</cp:revision>
  <dcterms:created xsi:type="dcterms:W3CDTF">2026-09-14T09:03:42.967Z</dcterms:created>
  <dcterms:modified xsi:type="dcterms:W3CDTF">2026-09-14T09:03:42.972Z</dcterms:modified>
</cp:coreProperties>
</file>

<file path=docProps/custom.xml><?xml version="1.0" encoding="utf-8"?>
<Properties xmlns="http://schemas.openxmlformats.org/officeDocument/2006/custom-properties" xmlns:vt="http://schemas.openxmlformats.org/officeDocument/2006/docPropsVTypes"/>
</file>