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(Top 8% of 1,134 teams) with 847+ experiments across 15+ neural network architectures. Trained 105 3D medical imaging models and deployed production healthcare AI achieving 93.8% accuracy. Expert in spatial-temporal modeling, trajectory prediction, ensemble methods, and multi-modal AI. Strong foundation in systematic ML experimentation, advanced feature engineering, and production deployment.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up to 46.86σ significance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OE-OS (In Progress)</w:t>
      </w:r>
    </w:p>
    <w:p>
      <w:r>
        <w:rPr>
          <w:i/>
          <w:iCs/>
        </w:rPr>
        <w:t xml:space="preserve">Distributed AI Orchestration Platform | Python / FastAPI</w:t>
      </w:r>
    </w:p>
    <w:p>
      <w:pPr>
        <w:pStyle w:val="ListParagraph"/>
        <w:numPr>
          <w:ilvl w:val="0"/>
          <w:numId w:val="1"/>
        </w:numPr>
      </w:pPr>
      <w:r>
        <w:t xml:space="preserve">• Three-tier LLM routing (local Ollama to cheap API to premium models) routing ~80% of requests to free local models</w:t>
      </w:r>
    </w:p>
    <w:p>
      <w:pPr>
        <w:pStyle w:val="ListParagraph"/>
        <w:numPr>
          <w:ilvl w:val="0"/>
          <w:numId w:val="1"/>
        </w:numPr>
      </w:pPr>
      <w:r>
        <w:t xml:space="preserve">• Triple-layer RAG memory: BM25 over 5M+ chunks, ChromaDB semantic search, Redis session cache</w:t>
      </w:r>
    </w:p>
    <w:p>
      <w:pPr>
        <w:pStyle w:val="ListParagraph"/>
        <w:numPr>
          <w:ilvl w:val="0"/>
          <w:numId w:val="1"/>
        </w:numPr>
      </w:pPr>
      <w:r>
        <w:t xml:space="preserve">• 18 MCP-compatible tools and multi-agent sandbox with 4 LLM personas at zero API cost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4,200+ lines of async Python on FastAPI for a private multi-node GPU cluster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Automated active-memory pipeline with n8n, RAG storage, and hot/warm/cold tiering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2026-02-15T00:25:50.266Z</dcterms:created>
  <dcterms:modified xsi:type="dcterms:W3CDTF">2026-02-15T00:25:50.266Z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