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Scientist with an MS in Data Science who builds things that actually work. I enjoy building and training models on my own multi-GPU homelab, deploying new techniques, and discovering unique ways to solve problems. Whether it's analysis, research, or projections, I dig into how something ticks, figure out why, and extract information that drives better outcomes. My multi-node homelab stack lets me run production applications, train models, and run MLflow, all on my own hardware. 20+ projects on GitHub covering deep learning, medical imaging, NLP, computer vision, and analytics.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Geospatial Crime Pattern Analysis | 41,200 NamUs Cases</w:t>
      </w:r>
    </w:p>
    <w:p>
      <w:pPr>
        <w:pStyle w:val="ListParagraph"/>
        <w:numPr>
          <w:ilvl w:val="0"/>
          <w:numId w:val="1"/>
        </w:numPr>
      </w:pPr>
      <w:r>
        <w:t xml:space="preserve">• 7 statistical methods + 3 ML models detecting trafficking corridors at up to 46.86σ significance</w:t>
      </w:r>
    </w:p>
    <w:p>
      <w:pPr>
        <w:pStyle w:val="ListParagraph"/>
        <w:numPr>
          <w:ilvl w:val="0"/>
          <w:numId w:val="1"/>
        </w:numPr>
      </w:pPr>
      <w:r>
        <w:t xml:space="preserve">• I-35 corridor acceleration: 170% increase in missing persons, structural break at 2020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Live Streamlit dashboard with spatial autocorrelation (Moran's I), ARIMA forecasting, and LISA clustering</w:t>
      </w:r>
    </w:p>
    <w:p>
      <w:r>
        <w:rPr>
          <w:b/>
          <w:bCs/>
        </w:rPr>
        <w:t xml:space="preserve">Opportunity Intelligence Assistant</w:t>
      </w:r>
    </w:p>
    <w:p>
      <w:r>
        <w:rPr>
          <w:i/>
          <w:iCs/>
        </w:rPr>
        <w:t xml:space="preserve">Agentic AI Market Analysis | Senior Living | 14 Statistical Analyses</w:t>
      </w:r>
    </w:p>
    <w:p>
      <w:pPr>
        <w:pStyle w:val="ListParagraph"/>
        <w:numPr>
          <w:ilvl w:val="0"/>
          <w:numId w:val="1"/>
        </w:numPr>
      </w:pPr>
      <w:r>
        <w:t xml:space="preserve">• 3-call LLM pipeline directing 22 statistical methods across Census Bureau and CMS public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Scored Des Moines market 48.3/100; 622-word executive briefing with citation tags on every claim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Automated active-memory pipeline with n8n, RAG storage, and hot/warm/cold tiering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Flow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CI Department Representative leading process improvement and operational efficiency initiatives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2026-02-17T04:04:33.531Z</dcterms:created>
  <dcterms:modified xsi:type="dcterms:W3CDTF">2026-02-17T04:04:33.531Z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