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Opportunity Intelligence Assistant</w:t>
      </w:r>
    </w:p>
    <w:p>
      <w:r>
        <w:rPr>
          <w:i/>
          <w:iCs/>
        </w:rPr>
        <w:t xml:space="preserve">Agentic AI Market Analysis | Senior Living | 14 Statistical Analyses</w:t>
      </w:r>
    </w:p>
    <w:p>
      <w:pPr>
        <w:pStyle w:val="ListParagraph"/>
        <w:numPr>
          <w:ilvl w:val="0"/>
          <w:numId w:val="1"/>
        </w:numPr>
      </w:pPr>
      <w:r>
        <w:t xml:space="preserve">• 3-call LLM pipeline directing 22 statistical methods across Census Bureau and CMS public data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Scored Des Moines market 48.3/100; 622-word executive briefing with citation tags on every claim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2026-02-17T23:56:28.808Z</dcterms:created>
  <dcterms:modified xsi:type="dcterms:W3CDTF">2026-02-17T23:56:28.808Z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