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2CB" w:rsidRDefault="006F082D">
      <w:pPr>
        <w:spacing w:after="0" w:line="259" w:lineRule="auto"/>
        <w:ind w:right="9"/>
        <w:jc w:val="center"/>
      </w:pPr>
      <w:r>
        <w:rPr>
          <w:sz w:val="18"/>
        </w:rPr>
        <w:t xml:space="preserve">CICLO FORMATIVO DE GRADO MEDIO </w:t>
      </w:r>
    </w:p>
    <w:p w:rsidR="00CE02CB" w:rsidRDefault="006F082D">
      <w:pPr>
        <w:spacing w:after="17" w:line="259" w:lineRule="auto"/>
        <w:ind w:right="9"/>
        <w:jc w:val="center"/>
      </w:pPr>
      <w:r>
        <w:rPr>
          <w:sz w:val="20"/>
        </w:rPr>
        <w:t xml:space="preserve">SISTEMAS MICROINFORMÁTICOS Y REDES </w:t>
      </w:r>
    </w:p>
    <w:p w:rsidR="00CE02CB" w:rsidRDefault="006F082D">
      <w:pPr>
        <w:pStyle w:val="Ttulo1"/>
        <w:ind w:left="10" w:right="2" w:hanging="10"/>
        <w:jc w:val="center"/>
      </w:pPr>
      <w:r>
        <w:rPr>
          <w:u w:val="none"/>
        </w:rPr>
        <w:t xml:space="preserve">SEGURIDAD INFORMÁTICA </w:t>
      </w:r>
    </w:p>
    <w:p w:rsidR="00CE02CB" w:rsidRDefault="006F082D">
      <w:pPr>
        <w:spacing w:after="0" w:line="259" w:lineRule="auto"/>
        <w:ind w:left="-38" w:right="-15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48401" cy="9144"/>
                <wp:effectExtent l="0" t="0" r="0" b="0"/>
                <wp:docPr id="2186" name="Group 2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1" cy="9144"/>
                          <a:chOff x="0" y="0"/>
                          <a:chExt cx="6248401" cy="914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248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1">
                                <a:moveTo>
                                  <a:pt x="0" y="0"/>
                                </a:moveTo>
                                <a:lnTo>
                                  <a:pt x="6248401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6" style="width:492pt;height:0.72pt;mso-position-horizontal-relative:char;mso-position-vertical-relative:line" coordsize="62484,91">
                <v:shape id="Shape 10" style="position:absolute;width:62484;height:0;left:0;top:0;" coordsize="6248401,0" path="m0,0l6248401,0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CE02CB" w:rsidRDefault="006F082D">
      <w:pPr>
        <w:spacing w:after="0" w:line="259" w:lineRule="auto"/>
        <w:ind w:left="62" w:right="0" w:firstLine="0"/>
        <w:jc w:val="center"/>
      </w:pPr>
      <w:r>
        <w:rPr>
          <w:sz w:val="24"/>
        </w:rPr>
        <w:t xml:space="preserve"> </w:t>
      </w:r>
    </w:p>
    <w:p w:rsidR="00CE02CB" w:rsidRDefault="006F082D">
      <w:pPr>
        <w:spacing w:after="0" w:line="259" w:lineRule="auto"/>
        <w:ind w:left="0" w:right="1" w:firstLine="0"/>
        <w:jc w:val="center"/>
      </w:pPr>
      <w:r>
        <w:rPr>
          <w:sz w:val="24"/>
        </w:rPr>
        <w:t xml:space="preserve">UT2 – Gestión de dispositivos de almacenamiento </w:t>
      </w:r>
    </w:p>
    <w:p w:rsidR="00CE02CB" w:rsidRDefault="006F082D">
      <w:pPr>
        <w:spacing w:after="0" w:line="259" w:lineRule="auto"/>
        <w:ind w:left="62" w:right="0" w:firstLine="0"/>
        <w:jc w:val="center"/>
      </w:pPr>
      <w:r>
        <w:rPr>
          <w:sz w:val="24"/>
        </w:rPr>
        <w:t xml:space="preserve"> </w:t>
      </w:r>
    </w:p>
    <w:p w:rsidR="00CE02CB" w:rsidRDefault="006F082D">
      <w:pPr>
        <w:pStyle w:val="Ttulo1"/>
      </w:pPr>
      <w:r>
        <w:t>PRÁCTICA 1: POLÍTICAS DE ALMACENAMIENTO</w:t>
      </w:r>
      <w:r>
        <w:rPr>
          <w:u w:val="none"/>
        </w:rPr>
        <w:t xml:space="preserve"> </w:t>
      </w:r>
      <w:r>
        <w:rPr>
          <w:sz w:val="20"/>
          <w:u w:val="none"/>
        </w:rPr>
        <w:t xml:space="preserve"> </w:t>
      </w:r>
    </w:p>
    <w:tbl>
      <w:tblPr>
        <w:tblStyle w:val="TableGrid"/>
        <w:tblW w:w="9775" w:type="dxa"/>
        <w:tblInd w:w="-106" w:type="dxa"/>
        <w:tblCellMar>
          <w:top w:w="46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476"/>
        <w:gridCol w:w="2299"/>
      </w:tblGrid>
      <w:tr w:rsidR="00CE02CB">
        <w:trPr>
          <w:trHeight w:val="1141"/>
        </w:trPr>
        <w:tc>
          <w:tcPr>
            <w:tcW w:w="9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E02CB" w:rsidRDefault="006F082D">
            <w:pPr>
              <w:spacing w:after="148" w:line="259" w:lineRule="auto"/>
              <w:ind w:left="0" w:right="0" w:firstLine="0"/>
              <w:jc w:val="left"/>
            </w:pPr>
            <w:r>
              <w:t xml:space="preserve">Resultado de aprendizaje evaluado </w:t>
            </w:r>
          </w:p>
          <w:p w:rsidR="00CE02CB" w:rsidRDefault="006F082D">
            <w:pPr>
              <w:spacing w:after="0" w:line="240" w:lineRule="auto"/>
              <w:ind w:left="0" w:right="0" w:firstLine="0"/>
            </w:pPr>
            <w:r>
              <w:rPr>
                <w:sz w:val="20"/>
              </w:rPr>
              <w:t xml:space="preserve">2. Gestiona dispositivos de almacenamiento describiendo los procedimientos efectuados y aplicando técnicas para asegurar la integridad de la información. </w:t>
            </w:r>
          </w:p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CE02CB">
        <w:trPr>
          <w:trHeight w:val="577"/>
        </w:trPr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CB" w:rsidRDefault="006F082D">
            <w:pPr>
              <w:spacing w:after="0" w:line="259" w:lineRule="auto"/>
              <w:ind w:left="0" w:right="53" w:firstLine="0"/>
              <w:jc w:val="center"/>
            </w:pPr>
            <w:r>
              <w:t xml:space="preserve">Criterio de Evaluación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CB" w:rsidRDefault="006F082D">
            <w:pPr>
              <w:spacing w:after="0" w:line="259" w:lineRule="auto"/>
              <w:ind w:left="0" w:right="47" w:firstLine="0"/>
              <w:jc w:val="center"/>
            </w:pPr>
            <w:r>
              <w:t xml:space="preserve">Calificación </w:t>
            </w:r>
          </w:p>
        </w:tc>
      </w:tr>
      <w:tr w:rsidR="00CE02CB">
        <w:trPr>
          <w:trHeight w:val="713"/>
        </w:trPr>
        <w:tc>
          <w:tcPr>
            <w:tcW w:w="7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a) Se ha interpretado la documentación técnica relativa a la política de almacenamiento.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</w:tbl>
    <w:p w:rsidR="00CE02CB" w:rsidRDefault="006F082D">
      <w:pPr>
        <w:spacing w:after="187" w:line="259" w:lineRule="auto"/>
        <w:ind w:left="0" w:right="0" w:firstLine="0"/>
        <w:jc w:val="left"/>
      </w:pPr>
      <w:r>
        <w:t xml:space="preserve"> </w:t>
      </w:r>
    </w:p>
    <w:p w:rsidR="00CE02CB" w:rsidRDefault="006F082D">
      <w:pPr>
        <w:pStyle w:val="Ttulo2"/>
        <w:ind w:left="-5" w:right="0"/>
      </w:pPr>
      <w:r>
        <w:t xml:space="preserve">Introducción </w:t>
      </w:r>
    </w:p>
    <w:p w:rsidR="00CE02CB" w:rsidRDefault="006F082D">
      <w:pPr>
        <w:ind w:right="0"/>
      </w:pPr>
      <w:r>
        <w:t xml:space="preserve">Para poder mantener de un modo seguro y eficaz todos estos sistemas de información es importante que la empresa especifique cuáles son las reglas, criterios y procedimientos que deben seguir todos los usuarios de los sistemas para: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>Que se garantice el acc</w:t>
      </w:r>
      <w:r>
        <w:t xml:space="preserve">eso de los recursos de información por los usuarios o programas autorizados.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Evitar la fuga de información.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Evitar el deterioro de la información almacenada o que deba ser conservada.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Evitar el uso de dispositivos no autorizados. </w:t>
      </w:r>
    </w:p>
    <w:p w:rsidR="00CE02CB" w:rsidRDefault="006F082D">
      <w:pPr>
        <w:numPr>
          <w:ilvl w:val="0"/>
          <w:numId w:val="1"/>
        </w:numPr>
        <w:spacing w:after="145"/>
        <w:ind w:right="0" w:hanging="349"/>
      </w:pPr>
      <w:r>
        <w:t>Proveer métodos de rec</w:t>
      </w:r>
      <w:r>
        <w:t xml:space="preserve">uperación de la información y la actividad en caso de fallos técnicos, accidentes o desastres.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Garantizar que al terminar su vida útil los soportes son desechados correctamente (que se tratará en otra guía). </w:t>
      </w:r>
    </w:p>
    <w:p w:rsidR="00CE02CB" w:rsidRDefault="006F082D">
      <w:pPr>
        <w:numPr>
          <w:ilvl w:val="0"/>
          <w:numId w:val="1"/>
        </w:numPr>
        <w:spacing w:after="144"/>
        <w:ind w:right="0" w:hanging="349"/>
      </w:pPr>
      <w:r>
        <w:t>Conocer cómo tratar las incidencias, las fugas</w:t>
      </w:r>
      <w:r>
        <w:t xml:space="preserve"> de información y los desastres u otras contingencias. </w:t>
      </w:r>
    </w:p>
    <w:p w:rsidR="00CE02CB" w:rsidRDefault="006F082D">
      <w:pPr>
        <w:ind w:right="0"/>
      </w:pPr>
      <w:r>
        <w:t xml:space="preserve">Así, se identifican relacionadas con el almacenamiento las siguientes políticas necesarias en la empresa, para que sean conocidas por los propios usuarios y controladas por los responsables: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>Política</w:t>
      </w:r>
      <w:r>
        <w:t xml:space="preserve"> de almacenamiento local en los equipos de trabajo.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Política de almacenamiento en la red corporativa.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Política sobre el uso de dispositivos externos.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Política de almacenamiento en </w:t>
      </w:r>
      <w:proofErr w:type="spellStart"/>
      <w:r>
        <w:t>cloud</w:t>
      </w:r>
      <w:proofErr w:type="spellEnd"/>
      <w:r>
        <w:t xml:space="preserve">.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Política de copias de seguridad. </w:t>
      </w:r>
    </w:p>
    <w:p w:rsidR="00CE02CB" w:rsidRDefault="006F082D">
      <w:pPr>
        <w:ind w:right="0"/>
      </w:pPr>
      <w:r>
        <w:t>Otras políticas necesarias para</w:t>
      </w:r>
      <w:r>
        <w:t xml:space="preserve"> la buena gestión de la información en la organización son: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 xml:space="preserve">Política de conservación o archivo de documentos </w:t>
      </w:r>
    </w:p>
    <w:p w:rsidR="00CE02CB" w:rsidRDefault="006F082D">
      <w:pPr>
        <w:numPr>
          <w:ilvl w:val="0"/>
          <w:numId w:val="1"/>
        </w:numPr>
        <w:ind w:right="0" w:hanging="349"/>
      </w:pPr>
      <w:r>
        <w:t>Política para el uso de dispositivos móviles personales o BYOD.</w:t>
      </w:r>
      <w:r>
        <w:rPr>
          <w:sz w:val="24"/>
        </w:rPr>
        <w:t xml:space="preserve"> </w:t>
      </w:r>
    </w:p>
    <w:p w:rsidR="00CE02CB" w:rsidRDefault="006F082D">
      <w:pPr>
        <w:spacing w:after="0" w:line="259" w:lineRule="auto"/>
        <w:ind w:right="9"/>
        <w:jc w:val="center"/>
      </w:pPr>
      <w:r>
        <w:rPr>
          <w:sz w:val="18"/>
        </w:rPr>
        <w:lastRenderedPageBreak/>
        <w:t xml:space="preserve">CICLO FORMATIVO DE GRADO MEDIO </w:t>
      </w:r>
    </w:p>
    <w:p w:rsidR="00CE02CB" w:rsidRDefault="006F082D">
      <w:pPr>
        <w:spacing w:after="17" w:line="259" w:lineRule="auto"/>
        <w:ind w:right="9"/>
        <w:jc w:val="center"/>
      </w:pPr>
      <w:r>
        <w:rPr>
          <w:sz w:val="20"/>
        </w:rPr>
        <w:t xml:space="preserve">SISTEMAS MICROINFORMÁTICOS Y REDES </w:t>
      </w:r>
    </w:p>
    <w:p w:rsidR="00CE02CB" w:rsidRDefault="006F082D">
      <w:pPr>
        <w:pStyle w:val="Ttulo2"/>
        <w:spacing w:after="0"/>
        <w:ind w:right="2"/>
        <w:jc w:val="center"/>
      </w:pPr>
      <w:r>
        <w:t xml:space="preserve">SEGURIDAD INFORMÁTICA </w:t>
      </w:r>
    </w:p>
    <w:p w:rsidR="00CE02CB" w:rsidRDefault="006F082D">
      <w:pPr>
        <w:spacing w:after="0" w:line="259" w:lineRule="auto"/>
        <w:ind w:left="-38" w:right="-15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48401" cy="9144"/>
                <wp:effectExtent l="0" t="0" r="0" b="0"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1" cy="9144"/>
                          <a:chOff x="0" y="0"/>
                          <a:chExt cx="6248401" cy="9144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248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1">
                                <a:moveTo>
                                  <a:pt x="0" y="0"/>
                                </a:moveTo>
                                <a:lnTo>
                                  <a:pt x="6248401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5" style="width:492pt;height:0.72pt;mso-position-horizontal-relative:char;mso-position-vertical-relative:line" coordsize="62484,91">
                <v:shape id="Shape 87" style="position:absolute;width:62484;height:0;left:0;top:0;" coordsize="6248401,0" path="m0,0l6248401,0">
                  <v:stroke weight="0.7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CE02CB" w:rsidRDefault="006F082D">
      <w:pPr>
        <w:pStyle w:val="Ttulo2"/>
        <w:ind w:left="-5" w:right="0"/>
      </w:pPr>
      <w:r>
        <w:t xml:space="preserve">Caso práctico  </w:t>
      </w:r>
    </w:p>
    <w:p w:rsidR="00CE02CB" w:rsidRDefault="006F082D">
      <w:pPr>
        <w:ind w:right="0"/>
      </w:pPr>
      <w:r>
        <w:t xml:space="preserve">Como miembros del departamento de Informática del ICETEX, debemos conocer el </w:t>
      </w:r>
      <w:r>
        <w:t>Manual de políticas de seguridad de la información</w:t>
      </w:r>
      <w:r>
        <w:t xml:space="preserve"> de dicho organismo. </w:t>
      </w:r>
    </w:p>
    <w:p w:rsidR="00CE02CB" w:rsidRDefault="006F082D">
      <w:pPr>
        <w:ind w:right="0"/>
      </w:pPr>
      <w:r>
        <w:t>Vamos a comprobar si realmente conoces su contenido. Para ello de</w:t>
      </w:r>
      <w:r>
        <w:t xml:space="preserve">bes leer detenidamente todo el manual y responder a las siguientes preguntas: </w:t>
      </w:r>
    </w:p>
    <w:p w:rsidR="00CE02CB" w:rsidRDefault="006F082D">
      <w:pPr>
        <w:numPr>
          <w:ilvl w:val="0"/>
          <w:numId w:val="2"/>
        </w:numPr>
        <w:ind w:right="0" w:hanging="348"/>
      </w:pPr>
      <w:r>
        <w:t>Indica cuáles son las normas dirigidas a la dirección de tecnología, relativas al uso de los teléfonos móviles, relacionadas con la protección de la información almacenada en di</w:t>
      </w:r>
      <w:r>
        <w:t xml:space="preserve">chos dispositivos.  </w:t>
      </w:r>
    </w:p>
    <w:p w:rsidR="00EA44BB" w:rsidRPr="00FE2153" w:rsidRDefault="00EA44BB" w:rsidP="00EA44BB">
      <w:pPr>
        <w:pStyle w:val="Ttulo3"/>
        <w:ind w:left="-5"/>
        <w:rPr>
          <w:highlight w:val="yellow"/>
        </w:rPr>
      </w:pPr>
      <w:r w:rsidRPr="00FE2153">
        <w:rPr>
          <w:highlight w:val="yellow"/>
        </w:rPr>
        <w:t>8.2.1.</w:t>
      </w:r>
      <w:r w:rsidRPr="00FE2153">
        <w:rPr>
          <w:rFonts w:ascii="Arial" w:eastAsia="Arial" w:hAnsi="Arial" w:cs="Arial"/>
          <w:highlight w:val="yellow"/>
        </w:rPr>
        <w:t xml:space="preserve"> </w:t>
      </w:r>
      <w:r w:rsidRPr="00FE2153">
        <w:rPr>
          <w:highlight w:val="yellow"/>
        </w:rPr>
        <w:t xml:space="preserve">Normas para uso de dispositivos móviles </w:t>
      </w:r>
    </w:p>
    <w:p w:rsidR="00EA44BB" w:rsidRPr="00FE2153" w:rsidRDefault="00EA44BB" w:rsidP="00EA44BB">
      <w:pPr>
        <w:ind w:left="551" w:right="0" w:firstLine="0"/>
        <w:rPr>
          <w:highlight w:val="yellow"/>
        </w:rPr>
      </w:pPr>
      <w:r w:rsidRPr="00FE2153">
        <w:rPr>
          <w:highlight w:val="yellow"/>
        </w:rPr>
        <w:t xml:space="preserve">Normas dirigidas a: DIRECCION DE TECNOLOGIA </w:t>
      </w:r>
    </w:p>
    <w:p w:rsidR="00EA44BB" w:rsidRPr="00FE2153" w:rsidRDefault="00EA44BB" w:rsidP="00EA44BB">
      <w:pPr>
        <w:spacing w:after="0" w:line="259" w:lineRule="auto"/>
        <w:ind w:left="0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investigar y probar las opciones de protección de los dispositivos móviles institucionales y personales que hagan uso de los servicios provistos por el instituto.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establecer las configuraciones aceptables para los dispositivos móviles institucionales o personales que hagan uso de los servicios provistos por el ICETEX.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establecer un método de bloqueo (por ejemplo, contraseñas, biométricos, patrones, reconocimiento de voz) para los dispositivos móviles institucionales que serán entregados a los usuarios. Se debe configurar estos dispositivos para que pasado un tiempo de inactividad pasen automáticamente a modo de suspensión y, en consecuencia, se active el bloqueo de la pantalla el cual requerirá el método de desbloqueo configurado.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activar la opción de cifrado de la memoria de almacenamiento de los dispositivos móviles institucionales haciendo imposible la copia o extracción de datos si no se conoce el método de desbloqueo. </w:t>
      </w:r>
    </w:p>
    <w:p w:rsidR="00EA44BB" w:rsidRPr="00FE2153" w:rsidRDefault="00EA44BB" w:rsidP="00EA44BB">
      <w:pPr>
        <w:spacing w:after="216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configurar la opción de borrado remoto de información en los dispositivos móviles institucionales, con el fin de eliminar los datos de dichos dispositivos y restaurarlos a los valores de fábrica, de forma remota, evitando así divulgación no autorizada de información en caso de pérdida o hurto.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contar con una solución de copias de seguridad para la información contenida en los dispositivos móviles institucionales de ICETEX; dichas copias deben acogerse a la Política de Copias de Respaldo de la Información. </w:t>
      </w:r>
    </w:p>
    <w:p w:rsidR="00EA44BB" w:rsidRPr="00FE2153" w:rsidRDefault="00EA44BB" w:rsidP="00EA44BB">
      <w:pPr>
        <w:spacing w:after="216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instalar un software de antivirus tanto en los dispositivos </w:t>
      </w:r>
      <w:proofErr w:type="gramStart"/>
      <w:r w:rsidRPr="00FE2153">
        <w:rPr>
          <w:highlight w:val="yellow"/>
        </w:rPr>
        <w:t>móviles  institucionales</w:t>
      </w:r>
      <w:proofErr w:type="gramEnd"/>
      <w:r w:rsidRPr="00FE2153">
        <w:rPr>
          <w:highlight w:val="yellow"/>
        </w:rPr>
        <w:t xml:space="preserve">. como en los personales que hagan uso de los servicios provistos por el instituto </w:t>
      </w:r>
    </w:p>
    <w:p w:rsidR="00EA44BB" w:rsidRPr="00FE2153" w:rsidRDefault="00EA44BB" w:rsidP="00EA44BB">
      <w:pPr>
        <w:spacing w:after="218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La Dirección de Tecnología debe activar los códigos de seguridad de la tarjeta SIM para los dispositivos móviles institucionales antes de asignarlos a los usuarios y almacenar estos códigos en un lugar seguro. </w:t>
      </w:r>
    </w:p>
    <w:p w:rsidR="00EA44BB" w:rsidRPr="00FE2153" w:rsidRDefault="00EA44BB" w:rsidP="00EA44BB">
      <w:pPr>
        <w:spacing w:after="218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ind w:left="551" w:right="0" w:firstLine="0"/>
        <w:rPr>
          <w:highlight w:val="yellow"/>
        </w:rPr>
      </w:pPr>
      <w:r w:rsidRPr="00FE2153">
        <w:rPr>
          <w:highlight w:val="yellow"/>
        </w:rPr>
        <w:t xml:space="preserve">Normas dirigidas a: TODOS LOS USUARIOS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lastRenderedPageBreak/>
        <w:t xml:space="preserve">Los usuarios deben evitar usar los dispositivos móviles institucionales en lugares que no les ofrezcan las garantías de seguridad física necesarias para evitar pérdida o robo de estos.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no deben modificar las configuraciones de seguridad de los dispositivos móviles institucionales bajo su responsabilidad, ni desinstalar el software provisto con ellos al momento de su entrega. </w:t>
      </w:r>
    </w:p>
    <w:p w:rsidR="00EA44BB" w:rsidRPr="00FE2153" w:rsidRDefault="00EA44BB" w:rsidP="00EA44BB">
      <w:pPr>
        <w:spacing w:after="218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deben evitar la instalación de programas desde fuentes desconocidas; se deben instalar aplicaciones únicamente desde los repositorios oficiales de </w:t>
      </w:r>
      <w:proofErr w:type="gramStart"/>
      <w:r w:rsidRPr="00FE2153">
        <w:rPr>
          <w:highlight w:val="yellow"/>
        </w:rPr>
        <w:t>los  dispositivos</w:t>
      </w:r>
      <w:proofErr w:type="gramEnd"/>
      <w:r w:rsidRPr="00FE2153">
        <w:rPr>
          <w:highlight w:val="yellow"/>
        </w:rPr>
        <w:t xml:space="preserve"> móviles institucionales.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deben, cada vez que el sistema de sus dispositivos móviles institucionales notifique de una actualización disponible, aceptar y aplicar la nueva versión.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deben evitar hacer uso de redes inalámbricas de uso público, así como deben desactivar las redes inalámbricas como WIFI, Bluetooth, o infrarrojos en los dispositivos móviles institucionales asignados.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deben evitar conectar los dispositivos móviles institucionales asignados por puerto USB a cualquier computador público, de hoteles o cafés internet, entre otros. </w:t>
      </w:r>
    </w:p>
    <w:p w:rsidR="00EA44BB" w:rsidRPr="00FE2153" w:rsidRDefault="00EA44BB" w:rsidP="00EA44BB">
      <w:pPr>
        <w:spacing w:after="0" w:line="259" w:lineRule="auto"/>
        <w:ind w:left="566" w:right="0" w:firstLine="0"/>
        <w:jc w:val="left"/>
        <w:rPr>
          <w:highlight w:val="yellow"/>
        </w:rPr>
      </w:pPr>
      <w:r w:rsidRPr="00FE2153">
        <w:rPr>
          <w:highlight w:val="yellow"/>
        </w:rPr>
        <w:t xml:space="preserve"> </w:t>
      </w:r>
    </w:p>
    <w:p w:rsidR="00EA44BB" w:rsidRPr="00FE2153" w:rsidRDefault="00EA44BB" w:rsidP="00EA44BB">
      <w:pPr>
        <w:numPr>
          <w:ilvl w:val="0"/>
          <w:numId w:val="3"/>
        </w:numPr>
        <w:spacing w:after="3" w:line="248" w:lineRule="auto"/>
        <w:ind w:right="0" w:hanging="286"/>
        <w:rPr>
          <w:highlight w:val="yellow"/>
        </w:rPr>
      </w:pPr>
      <w:r w:rsidRPr="00FE2153">
        <w:rPr>
          <w:highlight w:val="yellow"/>
        </w:rPr>
        <w:t xml:space="preserve">Los usuarios no deben almacenar videos, fotografías o información personal en los dispositivos móviles institucionales asignados. </w:t>
      </w:r>
    </w:p>
    <w:p w:rsidR="00EA44BB" w:rsidRDefault="00EA44BB" w:rsidP="00EA44BB">
      <w:pPr>
        <w:ind w:left="693" w:right="0" w:firstLine="0"/>
      </w:pPr>
    </w:p>
    <w:p w:rsidR="00CE02CB" w:rsidRDefault="006F082D">
      <w:pPr>
        <w:numPr>
          <w:ilvl w:val="0"/>
          <w:numId w:val="2"/>
        </w:numPr>
        <w:ind w:right="0" w:hanging="348"/>
      </w:pPr>
      <w:r>
        <w:t xml:space="preserve">¿Qué </w:t>
      </w:r>
      <w:proofErr w:type="gramStart"/>
      <w:r>
        <w:t>departamento  es</w:t>
      </w:r>
      <w:proofErr w:type="gramEnd"/>
      <w:r>
        <w:t xml:space="preserve"> el encargado de definir los niveles de clasificación de la información dentro de la organización?  </w:t>
      </w:r>
    </w:p>
    <w:p w:rsidR="00EA44BB" w:rsidRPr="005635F4" w:rsidRDefault="00EA44BB" w:rsidP="00EA44BB">
      <w:pPr>
        <w:spacing w:after="233" w:line="248" w:lineRule="auto"/>
        <w:ind w:left="693" w:right="0" w:firstLine="0"/>
        <w:rPr>
          <w:highlight w:val="yellow"/>
        </w:rPr>
      </w:pPr>
      <w:r w:rsidRPr="005635F4">
        <w:rPr>
          <w:highlight w:val="yellow"/>
        </w:rPr>
        <w:t xml:space="preserve">El Comité de Seguridad de la Información debe recomendar los niveles de clasificación de la información propuestos por la Oficina de Riesgos y la guía de clasificación de la Información del ICETEX para que sean aprobados por la Junta Directiva. </w:t>
      </w:r>
    </w:p>
    <w:p w:rsidR="00EA44BB" w:rsidRDefault="00EA44BB" w:rsidP="00EA44BB">
      <w:pPr>
        <w:ind w:left="693" w:right="0" w:firstLine="0"/>
      </w:pPr>
    </w:p>
    <w:p w:rsidR="00CE02CB" w:rsidRDefault="006F082D">
      <w:pPr>
        <w:numPr>
          <w:ilvl w:val="0"/>
          <w:numId w:val="2"/>
        </w:numPr>
        <w:ind w:right="0" w:hanging="348"/>
      </w:pPr>
      <w:r>
        <w:t xml:space="preserve">¿Se permite el uso de medios de almacenamiento personales dentro de la organización? </w:t>
      </w:r>
    </w:p>
    <w:p w:rsidR="00EA44BB" w:rsidRPr="00EA44BB" w:rsidRDefault="00EA44BB" w:rsidP="00EA44BB">
      <w:pPr>
        <w:spacing w:after="581" w:line="248" w:lineRule="auto"/>
        <w:ind w:left="693" w:right="0" w:firstLine="0"/>
        <w:rPr>
          <w:highlight w:val="yellow"/>
        </w:rPr>
      </w:pPr>
      <w:r w:rsidRPr="005635F4">
        <w:rPr>
          <w:highlight w:val="yellow"/>
        </w:rPr>
        <w:t>Los funcionarios y personal provisto por terceras partes no deben utilizar medios de almacenamiento personales en la plataforma</w:t>
      </w:r>
      <w:r>
        <w:rPr>
          <w:highlight w:val="yellow"/>
        </w:rPr>
        <w:t xml:space="preserve"> tecnológica del ICETEX.</w:t>
      </w:r>
    </w:p>
    <w:p w:rsidR="00CE02CB" w:rsidRDefault="006F082D">
      <w:pPr>
        <w:numPr>
          <w:ilvl w:val="0"/>
          <w:numId w:val="2"/>
        </w:numPr>
        <w:ind w:right="0" w:hanging="348"/>
      </w:pPr>
      <w:r>
        <w:t xml:space="preserve">¿Contempla la normativa de </w:t>
      </w:r>
      <w:r>
        <w:t xml:space="preserve">intercambio de información entre el instituto y terceras partes algún tipo de documento o acuerdo que deba ser firmado por ambas partes, donde se incluyan los compromisos adquiridos y las penalizaciones en caso de incumplimiento? Indica cuál. </w:t>
      </w:r>
    </w:p>
    <w:p w:rsidR="00CE02CB" w:rsidRDefault="006F082D">
      <w:pPr>
        <w:spacing w:after="187" w:line="259" w:lineRule="auto"/>
        <w:ind w:left="360" w:right="0" w:firstLine="0"/>
        <w:jc w:val="left"/>
      </w:pPr>
      <w:r>
        <w:t xml:space="preserve"> </w:t>
      </w:r>
    </w:p>
    <w:p w:rsidR="00CE02CB" w:rsidRDefault="006F082D">
      <w:pPr>
        <w:pStyle w:val="Ttulo2"/>
        <w:ind w:left="-5" w:right="0"/>
      </w:pPr>
      <w:r>
        <w:t>Plazo de e</w:t>
      </w:r>
      <w:r>
        <w:t xml:space="preserve">ntrega </w:t>
      </w:r>
    </w:p>
    <w:p w:rsidR="00CE02CB" w:rsidRDefault="006F082D">
      <w:pPr>
        <w:ind w:right="0"/>
      </w:pPr>
      <w:r>
        <w:t xml:space="preserve">Para completar las tareas incluidas en el caso práctico se ha estimado un tiempo de trabajo de 1 hora. La entrega deberá realizarse antes de la fecha del examen de la unidad. No se calificarán las prácticas que se entreguen fuera de plazo. </w:t>
      </w:r>
      <w:bookmarkStart w:id="0" w:name="_GoBack"/>
      <w:bookmarkEnd w:id="0"/>
    </w:p>
    <w:p w:rsidR="00CE02CB" w:rsidRDefault="006F082D">
      <w:pPr>
        <w:spacing w:after="172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CE02CB" w:rsidRDefault="006F082D">
      <w:pPr>
        <w:pStyle w:val="Ttulo2"/>
        <w:spacing w:after="0"/>
        <w:ind w:left="-5" w:right="0"/>
      </w:pPr>
      <w:r>
        <w:t xml:space="preserve">Criterios de calificación </w:t>
      </w:r>
    </w:p>
    <w:tbl>
      <w:tblPr>
        <w:tblStyle w:val="TableGrid"/>
        <w:tblW w:w="9851" w:type="dxa"/>
        <w:tblInd w:w="-106" w:type="dxa"/>
        <w:tblCellMar>
          <w:top w:w="48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911"/>
        <w:gridCol w:w="1417"/>
        <w:gridCol w:w="1523"/>
      </w:tblGrid>
      <w:tr w:rsidR="00CE02CB">
        <w:trPr>
          <w:trHeight w:val="574"/>
        </w:trPr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E02CB" w:rsidRDefault="006F082D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0"/>
              </w:rPr>
              <w:t xml:space="preserve">Criterios de calificación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E02CB" w:rsidRDefault="006F082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Hecho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E02CB" w:rsidRDefault="006F082D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0"/>
              </w:rPr>
              <w:t xml:space="preserve">Calificación </w:t>
            </w:r>
          </w:p>
        </w:tc>
      </w:tr>
      <w:tr w:rsidR="00CE02CB">
        <w:trPr>
          <w:trHeight w:val="462"/>
        </w:trPr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Pregunta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CE02CB">
        <w:trPr>
          <w:trHeight w:val="482"/>
        </w:trPr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t xml:space="preserve">Pregunta 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CE02CB">
        <w:trPr>
          <w:trHeight w:val="454"/>
        </w:trPr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t xml:space="preserve">Pregunta 3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</w:tr>
      <w:tr w:rsidR="00CE02CB">
        <w:trPr>
          <w:trHeight w:val="454"/>
        </w:trPr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0" w:right="0" w:firstLine="0"/>
              <w:jc w:val="left"/>
            </w:pPr>
            <w:r>
              <w:t xml:space="preserve">Pregunta 4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4" w:right="0" w:firstLine="0"/>
              <w:jc w:val="left"/>
            </w:pPr>
            <w:r>
              <w:t xml:space="preserve"> </w:t>
            </w:r>
          </w:p>
        </w:tc>
      </w:tr>
      <w:tr w:rsidR="00CE02CB">
        <w:trPr>
          <w:trHeight w:val="1061"/>
        </w:trPr>
        <w:tc>
          <w:tcPr>
            <w:tcW w:w="9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CB" w:rsidRDefault="006F082D">
            <w:pPr>
              <w:spacing w:after="0" w:line="259" w:lineRule="auto"/>
              <w:ind w:left="0" w:right="60" w:firstLine="0"/>
            </w:pPr>
            <w:r>
              <w:t xml:space="preserve">Cada pregunta respondida correctamente se puntuará con 2,5 puntos. Las preguntas sin responder 0 puntos, y aquellas que no estén perfectamente respondidas obtendrán una puntuación intermedia (entre 0 y 2,5 puntos) </w:t>
            </w:r>
          </w:p>
        </w:tc>
      </w:tr>
    </w:tbl>
    <w:p w:rsidR="00CE02CB" w:rsidRDefault="006F082D">
      <w:pPr>
        <w:spacing w:after="132" w:line="259" w:lineRule="auto"/>
        <w:ind w:left="0" w:right="0" w:firstLine="0"/>
        <w:jc w:val="left"/>
      </w:pPr>
      <w:r>
        <w:t xml:space="preserve"> </w:t>
      </w:r>
    </w:p>
    <w:p w:rsidR="00CE02CB" w:rsidRDefault="006F082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sectPr w:rsidR="00CE02CB">
      <w:pgSz w:w="11906" w:h="16838"/>
      <w:pgMar w:top="757" w:right="1131" w:bottom="124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523"/>
    <w:multiLevelType w:val="hybridMultilevel"/>
    <w:tmpl w:val="641866B2"/>
    <w:lvl w:ilvl="0" w:tplc="13BA0692">
      <w:start w:val="1"/>
      <w:numFmt w:val="bullet"/>
      <w:lvlText w:val="•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4D57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848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DC36A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4EC4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078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C2C96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2E6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C6A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310A1"/>
    <w:multiLevelType w:val="hybridMultilevel"/>
    <w:tmpl w:val="41FCBFDC"/>
    <w:lvl w:ilvl="0" w:tplc="F2680FC8">
      <w:start w:val="1"/>
      <w:numFmt w:val="bullet"/>
      <w:lvlText w:val=""/>
      <w:lvlJc w:val="left"/>
      <w:pPr>
        <w:ind w:left="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A0D22A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2EE08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CF008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66142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129B70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4C36F2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6E6D6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E387E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303CA"/>
    <w:multiLevelType w:val="hybridMultilevel"/>
    <w:tmpl w:val="392CAD56"/>
    <w:lvl w:ilvl="0" w:tplc="466AD64E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3C09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833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AE2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2085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875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202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4AF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0A1D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529B0"/>
    <w:multiLevelType w:val="hybridMultilevel"/>
    <w:tmpl w:val="DB32C4B8"/>
    <w:lvl w:ilvl="0" w:tplc="76621176">
      <w:start w:val="1"/>
      <w:numFmt w:val="bullet"/>
      <w:lvlText w:val=""/>
      <w:lvlJc w:val="left"/>
      <w:pPr>
        <w:ind w:left="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1A76C4">
      <w:start w:val="1"/>
      <w:numFmt w:val="bullet"/>
      <w:lvlText w:val="o"/>
      <w:lvlJc w:val="left"/>
      <w:pPr>
        <w:ind w:left="1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241CC">
      <w:start w:val="1"/>
      <w:numFmt w:val="bullet"/>
      <w:lvlText w:val="▪"/>
      <w:lvlJc w:val="left"/>
      <w:pPr>
        <w:ind w:left="1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90F806">
      <w:start w:val="1"/>
      <w:numFmt w:val="bullet"/>
      <w:lvlText w:val="•"/>
      <w:lvlJc w:val="left"/>
      <w:pPr>
        <w:ind w:left="2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0065C">
      <w:start w:val="1"/>
      <w:numFmt w:val="bullet"/>
      <w:lvlText w:val="o"/>
      <w:lvlJc w:val="left"/>
      <w:pPr>
        <w:ind w:left="3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01284">
      <w:start w:val="1"/>
      <w:numFmt w:val="bullet"/>
      <w:lvlText w:val="▪"/>
      <w:lvlJc w:val="left"/>
      <w:pPr>
        <w:ind w:left="4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E0EE30">
      <w:start w:val="1"/>
      <w:numFmt w:val="bullet"/>
      <w:lvlText w:val="•"/>
      <w:lvlJc w:val="left"/>
      <w:pPr>
        <w:ind w:left="4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C7144">
      <w:start w:val="1"/>
      <w:numFmt w:val="bullet"/>
      <w:lvlText w:val="o"/>
      <w:lvlJc w:val="left"/>
      <w:pPr>
        <w:ind w:left="5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8C84C">
      <w:start w:val="1"/>
      <w:numFmt w:val="bullet"/>
      <w:lvlText w:val="▪"/>
      <w:lvlJc w:val="left"/>
      <w:pPr>
        <w:ind w:left="6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D81444"/>
    <w:multiLevelType w:val="hybridMultilevel"/>
    <w:tmpl w:val="604A8082"/>
    <w:lvl w:ilvl="0" w:tplc="76D0741E">
      <w:start w:val="1"/>
      <w:numFmt w:val="bullet"/>
      <w:lvlText w:val=""/>
      <w:lvlJc w:val="left"/>
      <w:pPr>
        <w:ind w:left="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265FB8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CACC2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A0026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EAFAE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B2C228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2A41C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D0E29A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62F55A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CB"/>
    <w:rsid w:val="006F082D"/>
    <w:rsid w:val="00CE02CB"/>
    <w:rsid w:val="00E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B805"/>
  <w15:docId w15:val="{81166765-5C79-4E39-BA62-CAFE7EA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69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819" w:right="1997" w:hanging="276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2"/>
      <w:ind w:left="10" w:right="1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EA44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1169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UD2_P1_políticasDeAlmacenamiento.doc</vt:lpstr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UD2_P1_políticasDeAlmacenamiento.doc</dc:title>
  <dc:subject/>
  <dc:creator>anama</dc:creator>
  <cp:keywords/>
  <cp:lastModifiedBy>alumno</cp:lastModifiedBy>
  <cp:revision>2</cp:revision>
  <dcterms:created xsi:type="dcterms:W3CDTF">2021-10-20T09:46:00Z</dcterms:created>
  <dcterms:modified xsi:type="dcterms:W3CDTF">2021-10-20T09:46:00Z</dcterms:modified>
</cp:coreProperties>
</file>