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https://github.com/aspnet/AspNetCore/blob/master/LICENSE.txt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RNGs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Marsaglia</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2003-07-04</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of Statistical Software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http://creativecommons.org/licenses/by/3.0/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https://www.jstatsoft.org/article/view/v008i14</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https://www.jstatsoft.org/index.php/jss/article/view/v008i14/xorshift.pdf</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(Wikipedia)</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https://en.wikipedia.org/wiki/Xorshift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https://en.wikipedia.org/wiki/Wikipedia:Text_of_Creative_Commons_Attribution-ShareAlike_3.0_Unported_License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