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具身智能模型 Harness 与推理性能研究报告</w:t>
      </w:r>
    </w:p>
    <w:p>
      <w:pPr>
        <w:pStyle w:val="Subtitle"/>
        <w:widowControl/>
      </w:pPr>
      <w:r>
        <w:rPr>
          <w:rFonts w:ascii="Arial" w:hAnsi="Arial" w:eastAsia="Hiragino Sans GB"/>
          <w:b w:val="0"/>
          <w:color w:val="000000"/>
        </w:rPr>
        <w:t>测评体系  模型能力  系统架构  精细计时  协同训练</w:t>
      </w:r>
    </w:p>
    <w:p>
      <w:pPr>
        <w:widowControl/>
      </w:pPr>
      <w:r>
        <w:rPr>
          <w:rFonts w:ascii="Arial" w:hAnsi="Arial" w:eastAsia="Hiragino Sans GB"/>
          <w:b w:val="0"/>
          <w:color w:val="000000"/>
        </w:rPr>
        <w:t>版本 v3.0  |  2026年10月16日  |  面向技术负责人</w:t>
      </w:r>
    </w:p>
    <w:p>
      <w:pPr>
        <w:widowControl/>
      </w:pPr>
      <w:r>
        <w:rPr>
          <w:rFonts w:ascii="Arial" w:hAnsi="Arial" w:eastAsia="Hiragino Sans GB"/>
          <w:b w:val="0"/>
          <w:color w:val="000000"/>
        </w:rPr>
        <w:t>我们从 Astra 的机器人抓放表现进入这一方向，随后完成 GPT-as-Policy 三路线与 RPent 多模型实验。本报告把这些工作放回同一条研究主线：模型能否正确理解空间与任务，Harness 能否把判断转成有效动作，以及算力与通信能否及时完成闭环。</w:t>
      </w:r>
    </w:p>
    <w:p>
      <w:pPr>
        <w:widowControl/>
      </w:pPr>
      <w:r>
        <w:rPr>
          <w:rFonts w:ascii="Arial" w:hAnsi="Arial" w:eastAsia="Hiragino Sans GB"/>
          <w:b w:val="0"/>
          <w:color w:val="000000"/>
        </w:rPr>
      </w:r>
      <w:r>
        <w:rPr>
          <w:rFonts w:ascii="Arial" w:hAnsi="Arial" w:eastAsia="Hiragino Sans GB"/>
          <w:b/>
          <w:color w:val="000000"/>
        </w:rPr>
        <w:t>主要判断：Astra 的优势首先表现为抓放闭环中的稳定完成；Harness 决定这种能力怎样转化为动作和恢复；端到端耗时则由调用次数、请求等待、执行与渲染共同决定。</w:t>
      </w:r>
      <w:r>
        <w:rPr>
          <w:rFonts w:ascii="Arial" w:hAnsi="Arial" w:eastAsia="Hiragino Sans GB"/>
          <w:b w:val="0"/>
          <w:color w:val="000000"/>
        </w:rPr>
        <w:t xml:space="preserve"> 后续改进应分别验证空间能力训练、事件触发的分层控制，以及满足动作截止时间的异步推理。〔E3〕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936"/>
        <w:gridCol w:w="7258"/>
      </w:tblGrid>
      <w:tr>
        <w:trPr>
          <w:cantSplit/>
          <w:tblHeader/>
        </w:trPr>
        <w:tc>
          <w:tcPr>
            <w:tcW w:type="dxa" w:w="1944"/>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报告部分</w:t>
            </w:r>
          </w:p>
        </w:tc>
        <w:tc>
          <w:tcPr>
            <w:tcW w:type="dxa" w:w="93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汇报页</w:t>
            </w:r>
          </w:p>
        </w:tc>
        <w:tc>
          <w:tcPr>
            <w:tcW w:type="dxa" w:w="725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核心问题</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测评背景</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w:t>
            </w:r>
          </w:p>
        </w:tc>
        <w:tc>
          <w:tcPr>
            <w:tcW w:type="dxa" w:w="72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测什么，榜单在发生什么变化</w:t>
            </w:r>
          </w:p>
        </w:tc>
      </w:tr>
      <w:tr>
        <w:trPr>
          <w:cantSplit/>
        </w:trPr>
        <w:tc>
          <w:tcPr>
            <w:tcW w:type="dxa" w:w="194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模型能力</w:t>
            </w:r>
          </w:p>
        </w:tc>
        <w:tc>
          <w:tcPr>
            <w:tcW w:type="dxa" w:w="9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4–6</w:t>
            </w:r>
          </w:p>
        </w:tc>
        <w:tc>
          <w:tcPr>
            <w:tcW w:type="dxa" w:w="725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Astra在哪些环节表现突出</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Harness实验</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7–11</w:t>
            </w:r>
          </w:p>
        </w:tc>
        <w:tc>
          <w:tcPr>
            <w:tcW w:type="dxa" w:w="72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决策与执行怎样分工，架构差异产生什么结果</w:t>
            </w:r>
          </w:p>
        </w:tc>
      </w:tr>
      <w:tr>
        <w:trPr>
          <w:cantSplit/>
        </w:trPr>
        <w:tc>
          <w:tcPr>
            <w:tcW w:type="dxa" w:w="194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算力与精细计时</w:t>
            </w:r>
          </w:p>
        </w:tc>
        <w:tc>
          <w:tcPr>
            <w:tcW w:type="dxa" w:w="9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12–23</w:t>
            </w:r>
          </w:p>
        </w:tc>
        <w:tc>
          <w:tcPr>
            <w:tcW w:type="dxa" w:w="725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RPent与DeepSeek的时间究竟花在哪里</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改进与融合</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24–30</w:t>
            </w:r>
          </w:p>
        </w:tc>
        <w:tc>
          <w:tcPr>
            <w:tcW w:type="dxa" w:w="72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训练什么，怎样调度，如何融合与验收</w:t>
            </w:r>
          </w:p>
        </w:tc>
      </w:tr>
    </w:tbl>
    <w:p>
      <w:pPr>
        <w:spacing w:after="0"/>
      </w:pPr>
    </w:p>
    <w:p>
      <w:pPr>
        <w:widowControl/>
      </w:pPr>
      <w:r>
        <w:rPr>
          <w:rFonts w:ascii="Arial" w:hAnsi="Arial" w:eastAsia="Hiragino Sans GB"/>
          <w:b w:val="0"/>
          <w:color w:val="000000"/>
        </w:rPr>
        <w:t>正文按30个汇报单元展开，每单元包含分析正文、主要数据与“转为PPT”建议。编号是未来幻灯片页码；本报告另含前言、数据附录和来源索引。</w:t>
      </w:r>
    </w:p>
    <w:p>
      <w:pPr>
        <w:widowControl/>
      </w:pPr>
      <w:r>
        <w:rPr>
          <w:rFonts w:ascii="Arial" w:hAnsi="Arial" w:eastAsia="Hiragino Sans GB"/>
          <w:b w:val="0"/>
          <w:color w:val="000000"/>
        </w:rPr>
        <w:t>证据标记沿用工作区规则：E1为源码与采集定义，E2为配置，E3为报告、论文及本次复算或分析，E4为导师转述。数据统计保留批次、单位和分母；建议实验均标明目标或扫描值。</w:t>
      </w:r>
    </w:p>
    <w:p>
      <w:pPr>
        <w:pStyle w:val="Heading1"/>
        <w:pageBreakBefore/>
      </w:pPr>
      <w:r>
        <w:t>01 从测评任务到三个研究层面</w:t>
      </w:r>
    </w:p>
    <w:p>
      <w:pPr>
        <w:widowControl/>
      </w:pPr>
      <w:r>
        <w:rPr>
          <w:rFonts w:ascii="Arial" w:hAnsi="Arial" w:eastAsia="Hiragino Sans GB"/>
          <w:b w:val="0"/>
          <w:color w:val="000000"/>
        </w:rPr>
        <w:t>我们已经形成三个实验项目：机器人抓放、GPT-as-Policy 与 RPent。DeepSeek 是 RPent 中的专项，聚焦思考开关和请求分阶段性能。这些项目分别暴露了闭环空间判断、监督动作的成本，以及复杂任务规划与服务链路的瓶颈。〔E3〕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176"/>
        <w:gridCol w:w="4234"/>
      </w:tblGrid>
      <w:tr>
        <w:trPr>
          <w:cantSplit/>
          <w:tblHeader/>
        </w:trPr>
        <w:tc>
          <w:tcPr>
            <w:tcW w:type="dxa" w:w="172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实验项目</w:t>
            </w:r>
          </w:p>
        </w:tc>
        <w:tc>
          <w:tcPr>
            <w:tcW w:type="dxa" w:w="417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完成的主要实验</w:t>
            </w:r>
          </w:p>
        </w:tc>
        <w:tc>
          <w:tcPr>
            <w:tcW w:type="dxa" w:w="423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用于回答什么</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机器人抓放</w:t>
            </w:r>
          </w:p>
        </w:tc>
        <w:tc>
          <w:tcPr>
            <w:tcW w:type="dxa" w:w="417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三组20次基线；Astra两组5次；Sol两档与Luna各5次</w:t>
            </w:r>
          </w:p>
        </w:tc>
        <w:tc>
          <w:tcPr>
            <w:tcW w:type="dxa" w:w="423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模型能否看懂位置、抓持状态并修正动作</w:t>
            </w:r>
          </w:p>
        </w:tc>
      </w:tr>
      <w:tr>
        <w:trPr>
          <w:cantSplit/>
        </w:trPr>
        <w:tc>
          <w:tcPr>
            <w:tcW w:type="dxa" w:w="172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GPT-as-Policy</w:t>
            </w:r>
          </w:p>
        </w:tc>
        <w:tc>
          <w:tcPr>
            <w:tcW w:type="dxa" w:w="417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18格条件对照；三任务九回合；610轮决策与3008控制步</w:t>
            </w:r>
          </w:p>
        </w:tc>
        <w:tc>
          <w:tcPr>
            <w:tcW w:type="dxa" w:w="423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Direct、Student、Hybrid的动作权与审核价值</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RPent</w:t>
            </w:r>
          </w:p>
        </w:tc>
        <w:tc>
          <w:tcPr>
            <w:tcW w:type="dxa" w:w="417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GLM/Flash各套件；Astra/Sol 120集；独立8集深测</w:t>
            </w:r>
          </w:p>
        </w:tc>
        <w:tc>
          <w:tcPr>
            <w:tcW w:type="dxa" w:w="423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技能、任务记忆、工具调用与失败恢复</w:t>
            </w:r>
          </w:p>
        </w:tc>
      </w:tr>
      <w:tr>
        <w:trPr>
          <w:cantSplit/>
        </w:trPr>
        <w:tc>
          <w:tcPr>
            <w:tcW w:type="dxa" w:w="172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DeepSeek专项</w:t>
            </w:r>
          </w:p>
        </w:tc>
        <w:tc>
          <w:tcPr>
            <w:tcW w:type="dxa" w:w="417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非流式8集、流式8集、9体42次重放及单局审计</w:t>
            </w:r>
          </w:p>
        </w:tc>
        <w:tc>
          <w:tcPr>
            <w:tcW w:type="dxa" w:w="423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TTFT、输出窗口、上下文、传输与长尾</w:t>
            </w:r>
          </w:p>
        </w:tc>
      </w:tr>
    </w:tbl>
    <w:p>
      <w:pPr>
        <w:spacing w:after="0"/>
      </w:pPr>
    </w:p>
    <w:p>
      <w:pPr>
        <w:widowControl/>
      </w:pPr>
      <w:r>
        <w:rPr>
          <w:rFonts w:ascii="Arial" w:hAnsi="Arial" w:eastAsia="Hiragino Sans GB"/>
          <w:b w:val="0"/>
          <w:color w:val="000000"/>
        </w:rPr>
        <w:t>报告先用 RoboDojo 与 LIBERO 说明评测能力，再分析我们自己的模型、Harness 与计时数据。后半部分把每项观察对应到一个可实施的改进：空间监督数据、复合技能与事件触发、异步动作块，以及多模型联合训练。</w:t>
      </w:r>
    </w:p>
    <w:p>
      <w:pPr>
        <w:widowControl/>
      </w:pPr>
      <w:r>
        <w:rPr>
          <w:rFonts w:ascii="Arial" w:hAnsi="Arial" w:eastAsia="Hiragino Sans GB"/>
          <w:b w:val="0"/>
          <w:color w:val="000000"/>
        </w:rPr>
        <w:t>读图顺序保持一致：先看任务完成，再看时间分解，最后看改变了哪些变量。这样的组织能把“模型更聪明”“系统调用更少”和“单次推理更快”分别对应到证据。</w:t>
      </w:r>
    </w:p>
    <w:p>
      <w:pPr>
        <w:pStyle w:val="Heading2"/>
      </w:pPr>
      <w:r>
        <w:t>转为 PPT 第 1 页</w:t>
      </w:r>
    </w:p>
    <w:p>
      <w:pPr>
        <w:widowControl/>
      </w:pPr>
      <w:r>
        <w:rPr>
          <w:rFonts w:ascii="Arial" w:hAnsi="Arial" w:eastAsia="Hiragino Sans GB"/>
          <w:b w:val="0"/>
          <w:color w:val="000000"/>
        </w:rPr>
        <w:t>保留一张四行实验地图，右侧放“模型能力 → Harness → 算力与调度”三层示意。重点数字为120集、独立8集、610轮和42次重放；其他批次放表注。</w:t>
      </w:r>
    </w:p>
    <w:p>
      <w:pPr>
        <w:widowControl/>
      </w:pPr>
      <w:r>
        <w:rPr>
          <w:rFonts w:ascii="Arial" w:hAnsi="Arial" w:eastAsia="Hiragino Sans GB"/>
          <w:b w:val="0"/>
          <w:color w:val="555555"/>
          <w:sz w:val="17"/>
        </w:rPr>
        <w:t>来源 L01；实验清单与归档覆盖〔E3〕。各项目按自身任务判据统计。</w:t>
      </w:r>
    </w:p>
    <w:p>
      <w:pPr>
        <w:pStyle w:val="Heading1"/>
        <w:pageBreakBefore/>
      </w:pPr>
      <w:r>
        <w:t>02 RoboDojo 任务维度与排行榜进展</w:t>
      </w:r>
    </w:p>
    <w:p>
      <w:pPr>
        <w:widowControl/>
      </w:pPr>
      <w:r>
        <w:rPr>
          <w:rFonts w:ascii="Arial" w:hAnsi="Arial" w:eastAsia="Hiragino Sans GB"/>
          <w:b w:val="0"/>
          <w:color w:val="000000"/>
        </w:rPr>
        <w:t>RoboDojo包含42项仿真任务：泛化12项、记忆6项、精细8项、长程8项、开放指令8项；另有18项实机任务。典型任务包括记住消失物体再匹配、窄孔插管、多物体分类和双臂交接。它让我们同时看见“理解任务”和“稳定执行”的差异。〔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442"/>
        <w:gridCol w:w="2304"/>
        <w:gridCol w:w="2304"/>
      </w:tblGrid>
      <w:tr>
        <w:trPr>
          <w:cantSplit/>
          <w:tblHeader/>
        </w:trPr>
        <w:tc>
          <w:tcPr>
            <w:tcW w:type="dxa" w:w="208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日期或快照</w:t>
            </w:r>
          </w:p>
        </w:tc>
        <w:tc>
          <w:tcPr>
            <w:tcW w:type="dxa" w:w="344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方法</w:t>
            </w:r>
          </w:p>
        </w:tc>
        <w:tc>
          <w:tcPr>
            <w:tcW w:type="dxa" w:w="230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Average Score</w:t>
            </w:r>
          </w:p>
        </w:tc>
        <w:tc>
          <w:tcPr>
            <w:tcW w:type="dxa" w:w="230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Success Rate</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9月16日入榜</w:t>
            </w:r>
          </w:p>
        </w:tc>
        <w:tc>
          <w:tcPr>
            <w:tcW w:type="dxa" w:w="344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GPT-6 Astra</w:t>
            </w:r>
          </w:p>
        </w:tc>
        <w:tc>
          <w:tcPr>
            <w:tcW w:type="dxa" w:w="230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28.97</w:t>
            </w:r>
          </w:p>
        </w:tc>
        <w:tc>
          <w:tcPr>
            <w:tcW w:type="dxa" w:w="230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22.48%</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9月16日入榜</w:t>
            </w:r>
          </w:p>
        </w:tc>
        <w:tc>
          <w:tcPr>
            <w:tcW w:type="dxa" w:w="344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DeepSeek Flash</w:t>
            </w:r>
          </w:p>
        </w:tc>
        <w:tc>
          <w:tcPr>
            <w:tcW w:type="dxa" w:w="230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2.99</w:t>
            </w:r>
          </w:p>
        </w:tc>
        <w:tc>
          <w:tcPr>
            <w:tcW w:type="dxa" w:w="230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1.92%</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9月28日入榜</w:t>
            </w:r>
          </w:p>
        </w:tc>
        <w:tc>
          <w:tcPr>
            <w:tcW w:type="dxa" w:w="344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PhysicalRSI</w:t>
            </w:r>
          </w:p>
        </w:tc>
        <w:tc>
          <w:tcPr>
            <w:tcW w:type="dxa" w:w="230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36.27</w:t>
            </w:r>
          </w:p>
        </w:tc>
        <w:tc>
          <w:tcPr>
            <w:tcW w:type="dxa" w:w="230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31.38%</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10月8日入榜</w:t>
            </w:r>
          </w:p>
        </w:tc>
        <w:tc>
          <w:tcPr>
            <w:tcW w:type="dxa" w:w="344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VPP2</w:t>
            </w:r>
          </w:p>
        </w:tc>
        <w:tc>
          <w:tcPr>
            <w:tcW w:type="dxa" w:w="230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39.26</w:t>
            </w:r>
          </w:p>
        </w:tc>
        <w:tc>
          <w:tcPr>
            <w:tcW w:type="dxa" w:w="230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32.26%</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10月14日入榜</w:t>
            </w:r>
          </w:p>
        </w:tc>
        <w:tc>
          <w:tcPr>
            <w:tcW w:type="dxa" w:w="344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EmbodiedEvo</w:t>
            </w:r>
          </w:p>
        </w:tc>
        <w:tc>
          <w:tcPr>
            <w:tcW w:type="dxa" w:w="230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45.08</w:t>
            </w:r>
          </w:p>
        </w:tc>
        <w:tc>
          <w:tcPr>
            <w:tcW w:type="dxa" w:w="230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38.95%</w:t>
            </w:r>
          </w:p>
        </w:tc>
      </w:tr>
    </w:tbl>
    <w:p>
      <w:pPr>
        <w:spacing w:after="0"/>
      </w:pPr>
    </w:p>
    <w:p>
      <w:pPr>
        <w:widowControl/>
      </w:pPr>
      <w:r>
        <w:rPr>
          <w:rFonts w:ascii="Arial" w:hAnsi="Arial" w:eastAsia="Hiragino Sans GB"/>
          <w:b w:val="0"/>
          <w:color w:val="000000"/>
        </w:rPr>
        <w:t>截至10月16日访问的官方仿真榜，EmbodiedEvo排在VPP2之前。这个变化值得关注：可复用经验与代码型Agent已经成为提升系统成绩的重要路径，WAM路线则通过视频预测与动作建模增强执行。两条路线代表不同的成本分配：在线模型调用、离线经验构建与策略训练。</w:t>
      </w:r>
    </w:p>
    <w:p>
      <w:pPr>
        <w:widowControl/>
      </w:pPr>
      <w:r>
        <w:rPr>
          <w:rFonts w:ascii="Arial" w:hAnsi="Arial" w:eastAsia="Hiragino Sans GB"/>
          <w:b w:val="0"/>
          <w:color w:val="000000"/>
        </w:rPr>
        <w:t>汇报时应把Score和成功率同时给出。Score反映任务进度，成功率反映达到终态的比例；五维能力图更适合说明短板位置。榜单比较的是完整提交系统，包含其模型、工具、记忆与执行策略。</w:t>
      </w:r>
    </w:p>
    <w:p>
      <w:pPr>
        <w:pStyle w:val="Heading2"/>
      </w:pPr>
      <w:r>
        <w:t>转为 PPT 第 2 页</w:t>
      </w:r>
    </w:p>
    <w:p>
      <w:pPr>
        <w:widowControl/>
      </w:pPr>
      <w:r>
        <w:rPr>
          <w:rFonts w:ascii="Arial" w:hAnsi="Arial" w:eastAsia="Hiragino Sans GB"/>
          <w:b w:val="0"/>
          <w:color w:val="000000"/>
        </w:rPr>
        <w:t>保留五维任务示意、上表五行与9月到10月时间轴。标出“官方Sim榜，访问2026-10-16”。把Agent、Agent＋VLA、WAM标在方法旁；Score与SR分成两列。</w:t>
      </w:r>
    </w:p>
    <w:p>
      <w:pPr>
        <w:widowControl/>
      </w:pPr>
      <w:r>
        <w:rPr>
          <w:rFonts w:ascii="Arial" w:hAnsi="Arial" w:eastAsia="Hiragino Sans GB"/>
          <w:b w:val="0"/>
          <w:color w:val="555555"/>
          <w:sz w:val="17"/>
        </w:rPr>
        <w:t>来源 W01、W02；官方榜单与新闻〔E3〕。DeepSeek条目为每任务10集；仿真与实机分榜。</w:t>
      </w:r>
    </w:p>
    <w:p>
      <w:pPr>
        <w:pStyle w:val="Heading1"/>
        <w:pageBreakBefore/>
      </w:pPr>
      <w:r>
        <w:t>03 LIBERO 任务体系与我们的实验位置</w:t>
      </w:r>
    </w:p>
    <w:p>
      <w:pPr>
        <w:widowControl/>
      </w:pPr>
      <w:r>
        <w:rPr>
          <w:rFonts w:ascii="Arial" w:hAnsi="Arial" w:eastAsia="Hiragino Sans GB"/>
          <w:b w:val="0"/>
          <w:color w:val="000000"/>
        </w:rPr>
        <w:t>LIBERO 提供语言条件下的机器人操作任务，适合在同一仿真接口中比较空间关系、物体属性、目标变化和长程组合。我们的GPT-as-Policy与RPent实验围绕这一体系展开，因此它是后续受控实验的主要基座。〔E3〕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456"/>
        <w:gridCol w:w="4810"/>
      </w:tblGrid>
      <w:tr>
        <w:trPr>
          <w:cantSplit/>
          <w:tblHeader/>
        </w:trPr>
        <w:tc>
          <w:tcPr>
            <w:tcW w:type="dxa" w:w="187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任务集合</w:t>
            </w:r>
          </w:p>
        </w:tc>
        <w:tc>
          <w:tcPr>
            <w:tcW w:type="dxa" w:w="34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规模或侧重点</w:t>
            </w:r>
          </w:p>
        </w:tc>
        <w:tc>
          <w:tcPr>
            <w:tcW w:type="dxa" w:w="481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对应研究问题</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LIBERO Spatial</w:t>
            </w:r>
          </w:p>
        </w:tc>
        <w:tc>
          <w:tcPr>
            <w:tcW w:type="dxa" w:w="34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10任务，空间关系</w:t>
            </w:r>
          </w:p>
        </w:tc>
        <w:tc>
          <w:tcPr>
            <w:tcW w:type="dxa" w:w="48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目标在左、右、前、后变化时能否正确行动</w:t>
            </w:r>
          </w:p>
        </w:tc>
      </w:tr>
      <w:tr>
        <w:trPr>
          <w:cantSplit/>
        </w:trPr>
        <w:tc>
          <w:tcPr>
            <w:tcW w:type="dxa" w:w="187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LIBERO Object</w:t>
            </w:r>
          </w:p>
        </w:tc>
        <w:tc>
          <w:tcPr>
            <w:tcW w:type="dxa" w:w="34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10任务，物体属性变化</w:t>
            </w:r>
          </w:p>
        </w:tc>
        <w:tc>
          <w:tcPr>
            <w:tcW w:type="dxa" w:w="48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能否识别并操作指定对象</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LIBERO Goal</w:t>
            </w:r>
          </w:p>
        </w:tc>
        <w:tc>
          <w:tcPr>
            <w:tcW w:type="dxa" w:w="34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10任务，目标变化</w:t>
            </w:r>
          </w:p>
        </w:tc>
        <w:tc>
          <w:tcPr>
            <w:tcW w:type="dxa" w:w="48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场景相近时能否遵循不同指令</w:t>
            </w:r>
          </w:p>
        </w:tc>
      </w:tr>
      <w:tr>
        <w:trPr>
          <w:cantSplit/>
        </w:trPr>
        <w:tc>
          <w:tcPr>
            <w:tcW w:type="dxa" w:w="187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LIBERO 100</w:t>
            </w:r>
          </w:p>
        </w:tc>
        <w:tc>
          <w:tcPr>
            <w:tcW w:type="dxa" w:w="34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90训练任务＋10长程任务</w:t>
            </w:r>
          </w:p>
        </w:tc>
        <w:tc>
          <w:tcPr>
            <w:tcW w:type="dxa" w:w="48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知识迁移与多步骤任务组合</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LIBERO PRO</w:t>
            </w:r>
          </w:p>
        </w:tc>
        <w:tc>
          <w:tcPr>
            <w:tcW w:type="dxa" w:w="34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在原任务上构造扰动评测</w:t>
            </w:r>
          </w:p>
        </w:tc>
        <w:tc>
          <w:tcPr>
            <w:tcW w:type="dxa" w:w="48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分离位置、对象、任务等变化下的泛化</w:t>
            </w:r>
          </w:p>
        </w:tc>
      </w:tr>
    </w:tbl>
    <w:p>
      <w:pPr>
        <w:spacing w:after="0"/>
      </w:pPr>
    </w:p>
    <w:p>
      <w:pPr>
        <w:widowControl/>
      </w:pPr>
      <w:r>
        <w:rPr>
          <w:rFonts w:ascii="Arial" w:hAnsi="Arial" w:eastAsia="Hiragino Sans GB"/>
          <w:b w:val="0"/>
          <w:color w:val="000000"/>
        </w:rPr>
        <w:t>本地已测任务具有清楚的操作含义：两罐入篮检验多对象抓放；杯入微波炉并关门检验接触与阶段衔接；底层抽屉检验目标部件识别；RPent的Spatial Task、Spatial Swap和Long Swap进一步检验任务与环境变化。</w:t>
      </w:r>
    </w:p>
    <w:p>
      <w:pPr>
        <w:widowControl/>
      </w:pPr>
      <w:r>
        <w:rPr>
          <w:rFonts w:ascii="Arial" w:hAnsi="Arial" w:eastAsia="Hiragino Sans GB"/>
          <w:b w:val="0"/>
          <w:color w:val="000000"/>
        </w:rPr>
        <w:t>RoboDojo用于观察更宽的能力版图，LIBERO用于我们可重复的模型与系统消融。下一阶段以固定任务、初态、相机、动作预算和终态判据连接两者，并记录系统版本与推理档位。</w:t>
      </w:r>
    </w:p>
    <w:p>
      <w:pPr>
        <w:pStyle w:val="Heading2"/>
      </w:pPr>
      <w:r>
        <w:t>转为 PPT 第 3 页</w:t>
      </w:r>
    </w:p>
    <w:p>
      <w:pPr>
        <w:widowControl/>
      </w:pPr>
      <w:r>
        <w:rPr>
          <w:rFonts w:ascii="Arial" w:hAnsi="Arial" w:eastAsia="Hiragino Sans GB"/>
          <w:b w:val="0"/>
          <w:color w:val="000000"/>
        </w:rPr>
        <w:t>保留LIBERO套件表、三幅任务示意或任务文字，以及“外部能力地图 → 本地受控实验”的关系。用颜色标出我们实际跑过的套件和任务。</w:t>
      </w:r>
    </w:p>
    <w:p>
      <w:pPr>
        <w:widowControl/>
      </w:pPr>
      <w:r>
        <w:rPr>
          <w:rFonts w:ascii="Arial" w:hAnsi="Arial" w:eastAsia="Hiragino Sans GB"/>
          <w:b w:val="0"/>
          <w:color w:val="555555"/>
          <w:sz w:val="17"/>
        </w:rPr>
        <w:t>来源 W03、W04、W20、L01、L03；基准定义〔E3〕，本地任务与预算〔E2/E3〕。LIBERO共130任务；LIBERO-10为100任务集合中的10项长程任务。</w:t>
      </w:r>
    </w:p>
    <w:p>
      <w:pPr>
        <w:pStyle w:val="Heading1"/>
        <w:pageBreakBefore/>
      </w:pPr>
      <w:r>
        <w:t>04 Astra 在抓放闭环中的优势</w:t>
      </w:r>
    </w:p>
    <w:p>
      <w:pPr>
        <w:widowControl/>
      </w:pPr>
      <w:r>
        <w:rPr>
          <w:rFonts w:ascii="Arial" w:hAnsi="Arial" w:eastAsia="Hiragino Sans GB"/>
          <w:b w:val="0"/>
          <w:color w:val="000000"/>
        </w:rPr>
        <w:t>同seed抓放对照给出了模型层最直接的结果：Astra medium完成5/5，Sol medium为2/5，Sol ultra为3/5，Luna max为0/5。Astra同时使用更少的平均决策轮次，并有更短的回合墙钟。〔E3〕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440"/>
        <w:gridCol w:w="1613"/>
        <w:gridCol w:w="1944"/>
        <w:gridCol w:w="2765"/>
      </w:tblGrid>
      <w:tr>
        <w:trPr>
          <w:cantSplit/>
          <w:tblHeader/>
        </w:trPr>
        <w:tc>
          <w:tcPr>
            <w:tcW w:type="dxa" w:w="2376"/>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模型与档位</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自动入碗</w:t>
            </w:r>
          </w:p>
        </w:tc>
        <w:tc>
          <w:tcPr>
            <w:tcW w:type="dxa" w:w="1613"/>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平均决策</w:t>
            </w:r>
          </w:p>
        </w:tc>
        <w:tc>
          <w:tcPr>
            <w:tcW w:type="dxa" w:w="194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平均控制步</w:t>
            </w:r>
          </w:p>
        </w:tc>
        <w:tc>
          <w:tcPr>
            <w:tcW w:type="dxa" w:w="2765"/>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回合均值 s</w:t>
            </w:r>
          </w:p>
        </w:tc>
      </w:tr>
      <w:tr>
        <w:trPr>
          <w:cantSplit/>
        </w:trPr>
        <w:tc>
          <w:tcPr>
            <w:tcW w:type="dxa" w:w="237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Astra medium</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5/5</w:t>
            </w:r>
          </w:p>
        </w:tc>
        <w:tc>
          <w:tcPr>
            <w:tcW w:type="dxa" w:w="161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16.0</w:t>
            </w:r>
          </w:p>
        </w:tc>
        <w:tc>
          <w:tcPr>
            <w:tcW w:type="dxa" w:w="19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505.8</w:t>
            </w:r>
          </w:p>
        </w:tc>
        <w:tc>
          <w:tcPr>
            <w:tcW w:type="dxa" w:w="2765"/>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336.11</w:t>
            </w:r>
          </w:p>
        </w:tc>
      </w:tr>
      <w:tr>
        <w:trPr>
          <w:cantSplit/>
        </w:trPr>
        <w:tc>
          <w:tcPr>
            <w:tcW w:type="dxa" w:w="237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Sol medium</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2/5</w:t>
            </w:r>
          </w:p>
        </w:tc>
        <w:tc>
          <w:tcPr>
            <w:tcW w:type="dxa" w:w="1613"/>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18.2</w:t>
            </w:r>
          </w:p>
        </w:tc>
        <w:tc>
          <w:tcPr>
            <w:tcW w:type="dxa" w:w="194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622.0</w:t>
            </w:r>
          </w:p>
        </w:tc>
        <w:tc>
          <w:tcPr>
            <w:tcW w:type="dxa" w:w="2765"/>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547.09</w:t>
            </w:r>
          </w:p>
        </w:tc>
      </w:tr>
      <w:tr>
        <w:trPr>
          <w:cantSplit/>
        </w:trPr>
        <w:tc>
          <w:tcPr>
            <w:tcW w:type="dxa" w:w="237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Sol ultra</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3/5</w:t>
            </w:r>
          </w:p>
        </w:tc>
        <w:tc>
          <w:tcPr>
            <w:tcW w:type="dxa" w:w="161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17.6</w:t>
            </w:r>
          </w:p>
        </w:tc>
        <w:tc>
          <w:tcPr>
            <w:tcW w:type="dxa" w:w="19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732.6</w:t>
            </w:r>
          </w:p>
        </w:tc>
        <w:tc>
          <w:tcPr>
            <w:tcW w:type="dxa" w:w="2765"/>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600.63</w:t>
            </w:r>
          </w:p>
        </w:tc>
      </w:tr>
      <w:tr>
        <w:trPr>
          <w:cantSplit/>
        </w:trPr>
        <w:tc>
          <w:tcPr>
            <w:tcW w:type="dxa" w:w="237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Luna max</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0/5</w:t>
            </w:r>
          </w:p>
        </w:tc>
        <w:tc>
          <w:tcPr>
            <w:tcW w:type="dxa" w:w="1613"/>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19.6</w:t>
            </w:r>
          </w:p>
        </w:tc>
        <w:tc>
          <w:tcPr>
            <w:tcW w:type="dxa" w:w="194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562.0</w:t>
            </w:r>
          </w:p>
        </w:tc>
        <w:tc>
          <w:tcPr>
            <w:tcW w:type="dxa" w:w="2765"/>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1969.76</w:t>
            </w:r>
          </w:p>
        </w:tc>
      </w:tr>
    </w:tbl>
    <w:p>
      <w:pPr>
        <w:spacing w:after="0"/>
      </w:pPr>
    </w:p>
    <w:p>
      <w:pPr>
        <w:widowControl/>
      </w:pPr>
      <w:r>
        <w:rPr>
          <w:rFonts w:ascii="Arial" w:hAnsi="Arial" w:eastAsia="Hiragino Sans GB"/>
          <w:b w:val="0"/>
          <w:color w:val="000000"/>
        </w:rPr>
        <w:t>这里的任务不是一次看图问答。模型要根据多视角图像和机械臂状态，连续决定接近、对齐、闭合夹爪、抬升、移动和释放。我们关心的是整个链条是否稳定：对象位置判断、动作尺度、执行反馈与完成检查是否配合。</w:t>
      </w:r>
    </w:p>
    <w:p>
      <w:pPr>
        <w:widowControl/>
      </w:pPr>
      <w:r>
        <w:rPr>
          <w:rFonts w:ascii="Arial" w:hAnsi="Arial" w:eastAsia="Hiragino Sans GB"/>
          <w:b w:val="0"/>
          <w:color w:val="000000"/>
        </w:rPr>
        <w:t>Sol提高推理档位后，成功数从2增加到3，同时平均控制步和回合耗时增加。数据把一个研究方向明确出来：后训练应提高有效动作和状态判断的质量，而不是单纯鼓励更长的推理。</w:t>
      </w:r>
    </w:p>
    <w:p>
      <w:pPr>
        <w:widowControl/>
      </w:pPr>
      <w:r>
        <w:rPr>
          <w:rFonts w:ascii="Arial" w:hAnsi="Arial" w:eastAsia="Hiragino Sans GB"/>
          <w:b w:val="0"/>
          <w:color w:val="000000"/>
        </w:rPr>
        <w:t>早期三组20次基线中，GLM为0/20、DeepSeek为1/20、Qwen为4/20；Astra首批为5/5。早期结果与9月23日同seed四组分开保留，后者作为本页主要对照。</w:t>
      </w:r>
    </w:p>
    <w:p>
      <w:pPr>
        <w:pStyle w:val="Heading2"/>
      </w:pPr>
      <w:r>
        <w:t>转为 PPT 第 4 页</w:t>
      </w:r>
    </w:p>
    <w:p>
      <w:pPr>
        <w:widowControl/>
      </w:pPr>
      <w:r>
        <w:rPr>
          <w:rFonts w:ascii="Arial" w:hAnsi="Arial" w:eastAsia="Hiragino Sans GB"/>
          <w:b w:val="0"/>
          <w:color w:val="000000"/>
        </w:rPr>
        <w:t>保留四模型表或“成功数＋耗时”的双图。核心句为“Astra在本地抓放中完成更稳定，决策轮次也更少”。表下注seed2005–2009、每组5次、自动入碗。</w:t>
      </w:r>
    </w:p>
    <w:p>
      <w:pPr>
        <w:widowControl/>
      </w:pPr>
      <w:r>
        <w:rPr>
          <w:rFonts w:ascii="Arial" w:hAnsi="Arial" w:eastAsia="Hiragino Sans GB"/>
          <w:b w:val="0"/>
          <w:color w:val="555555"/>
          <w:sz w:val="17"/>
        </w:rPr>
        <w:t>来源 L02；9月23日配对抓放与9月16日独立批次〔E3〕。回合墙钟包含模型接入、工具与执行。</w:t>
      </w:r>
    </w:p>
    <w:p>
      <w:pPr>
        <w:pStyle w:val="Heading1"/>
        <w:pageBreakBefore/>
      </w:pPr>
      <w:r>
        <w:t>05 把空间能力拆成可训练的行为</w:t>
      </w:r>
    </w:p>
    <w:p>
      <w:pPr>
        <w:widowControl/>
      </w:pPr>
      <w:r>
        <w:rPr>
          <w:rFonts w:ascii="Arial" w:hAnsi="Arial" w:eastAsia="Hiragino Sans GB"/>
          <w:b w:val="0"/>
          <w:color w:val="000000"/>
        </w:rPr>
        <w:t>Astra的抓放优势可以沿动作闭环拆解为四个可观察环节：识别目标及关系、将关系映射为动作、根据执行反馈修正、判断子任务何时结束。这样的拆解能把“空间智能”变成训练样本和评测标签。〔E3〕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960"/>
        <w:gridCol w:w="4306"/>
      </w:tblGrid>
      <w:tr>
        <w:trPr>
          <w:cantSplit/>
          <w:tblHeader/>
        </w:trPr>
        <w:tc>
          <w:tcPr>
            <w:tcW w:type="dxa" w:w="187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能力环节</w:t>
            </w:r>
          </w:p>
        </w:tc>
        <w:tc>
          <w:tcPr>
            <w:tcW w:type="dxa" w:w="396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任务中的具体表现</w:t>
            </w:r>
          </w:p>
        </w:tc>
        <w:tc>
          <w:tcPr>
            <w:tcW w:type="dxa" w:w="430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下一步采集的监督</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空间定位与关系</w:t>
            </w:r>
          </w:p>
        </w:tc>
        <w:tc>
          <w:tcPr>
            <w:tcW w:type="dxa" w:w="39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区分目标、容器、上下层部件及相对位置</w:t>
            </w:r>
          </w:p>
        </w:tc>
        <w:tc>
          <w:tcPr>
            <w:tcW w:type="dxa" w:w="430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对象身份、关系图、目标区域与视角一致性</w:t>
            </w:r>
          </w:p>
        </w:tc>
      </w:tr>
      <w:tr>
        <w:trPr>
          <w:cantSplit/>
        </w:trPr>
        <w:tc>
          <w:tcPr>
            <w:tcW w:type="dxa" w:w="187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视觉到动作</w:t>
            </w:r>
          </w:p>
        </w:tc>
        <w:tc>
          <w:tcPr>
            <w:tcW w:type="dxa" w:w="39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选择接近方向、位姿增量和夹爪时机</w:t>
            </w:r>
          </w:p>
        </w:tc>
        <w:tc>
          <w:tcPr>
            <w:tcW w:type="dxa" w:w="430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候选动作、边界检查、执行后的位姿变化</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反馈与恢复</w:t>
            </w:r>
          </w:p>
        </w:tc>
        <w:tc>
          <w:tcPr>
            <w:tcW w:type="dxa" w:w="39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区分夹紧、抓空、滑落与已放置</w:t>
            </w:r>
          </w:p>
        </w:tc>
        <w:tc>
          <w:tcPr>
            <w:tcW w:type="dxa" w:w="430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动作前后图像、抓持判据、恢复结果</w:t>
            </w:r>
          </w:p>
        </w:tc>
      </w:tr>
      <w:tr>
        <w:trPr>
          <w:cantSplit/>
        </w:trPr>
        <w:tc>
          <w:tcPr>
            <w:tcW w:type="dxa" w:w="187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任务与阶段推理</w:t>
            </w:r>
          </w:p>
        </w:tc>
        <w:tc>
          <w:tcPr>
            <w:tcW w:type="dxa" w:w="39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按目标顺序操作，达到条件才推进</w:t>
            </w:r>
          </w:p>
        </w:tc>
        <w:tc>
          <w:tcPr>
            <w:tcW w:type="dxa" w:w="430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子目标状态、完成检查、下一技能选择</w:t>
            </w:r>
          </w:p>
        </w:tc>
      </w:tr>
    </w:tbl>
    <w:p>
      <w:pPr>
        <w:spacing w:after="0"/>
      </w:pPr>
    </w:p>
    <w:p>
      <w:pPr>
        <w:widowControl/>
      </w:pPr>
      <w:r>
        <w:rPr>
          <w:rFonts w:ascii="Arial" w:hAnsi="Arial" w:eastAsia="Hiragino Sans GB"/>
          <w:b w:val="0"/>
          <w:color w:val="000000"/>
        </w:rPr>
        <w:t>前期60次任务、1109次决策的失败复核中，48次停在尚未稳定抓取的阶段0–1。Astra trial03第7次发起试举，第8次看到方块仍留在桌上，将重抓目标高度由0.825m降到0.805m；再次闭合、试举，确认方块随手抬升后才搬运。训练数据应将两者组织成“同一状态下选哪一个动作、为什么选择、执行后发生了什么”，让学生学习可验证的选择和状态变化。</w:t>
      </w:r>
    </w:p>
    <w:p>
      <w:pPr>
        <w:widowControl/>
      </w:pPr>
      <w:r>
        <w:rPr>
          <w:rFonts w:ascii="Arial" w:hAnsi="Arial" w:eastAsia="Hiragino Sans GB"/>
          <w:b w:val="0"/>
          <w:color w:val="000000"/>
        </w:rPr>
        <w:t>我们对Astra的解释落在外显行为上：多视角理解、动作参数化、反馈利用和任务分解共同提高了闭环完成质量。接下来的状态重放实验可分别移除图像、历史或数值状态，测出各信息源的贡献。</w:t>
      </w:r>
    </w:p>
    <w:p>
      <w:pPr>
        <w:pStyle w:val="Heading2"/>
      </w:pPr>
      <w:r>
        <w:t>转为 PPT 第 5 页</w:t>
      </w:r>
    </w:p>
    <w:p>
      <w:pPr>
        <w:widowControl/>
      </w:pPr>
      <w:r>
        <w:rPr>
          <w:rFonts w:ascii="Arial" w:hAnsi="Arial" w:eastAsia="Hiragino Sans GB"/>
          <w:b w:val="0"/>
          <w:color w:val="000000"/>
        </w:rPr>
        <w:t>保留四环节闭环图与一条成功/失败对照轨迹。每一环节配一个监督标签；避免仅放抽象“空间推理强”的描述。</w:t>
      </w:r>
    </w:p>
    <w:p>
      <w:pPr>
        <w:widowControl/>
      </w:pPr>
      <w:r>
        <w:rPr>
          <w:rFonts w:ascii="Arial" w:hAnsi="Arial" w:eastAsia="Hiragino Sans GB"/>
          <w:b w:val="0"/>
          <w:color w:val="555555"/>
          <w:sz w:val="17"/>
        </w:rPr>
        <w:t>来源 L01、L02；失败复核与9月16日首批轨迹〔E3〕。第4页主表为9月23日配对批；能力拆解与监督设计〔E3〕。</w:t>
      </w:r>
    </w:p>
    <w:p>
      <w:pPr>
        <w:pStyle w:val="Heading1"/>
        <w:pageBreakBefore/>
      </w:pPr>
      <w:r>
        <w:t>06 模型优势如何随 Harness 改变</w:t>
      </w:r>
    </w:p>
    <w:p>
      <w:pPr>
        <w:widowControl/>
      </w:pPr>
      <w:r>
        <w:rPr>
          <w:rFonts w:ascii="Arial" w:hAnsi="Arial" w:eastAsia="Hiragino Sans GB"/>
          <w:b w:val="0"/>
          <w:color w:val="000000"/>
        </w:rPr>
        <w:t>RPent中，Astra与Sol总成功数分别为50/60和49/60，差异主要体现为不同套件的完成表现与耗时。在这组技能型任务中，两模型的总成功数接近；抓放与RPent的任务、动作接口和模型职责各有侧重。〔E3〕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440"/>
        <w:gridCol w:w="1440"/>
        <w:gridCol w:w="2621"/>
        <w:gridCol w:w="2621"/>
      </w:tblGrid>
      <w:tr>
        <w:trPr>
          <w:cantSplit/>
          <w:tblHeader/>
        </w:trPr>
        <w:tc>
          <w:tcPr>
            <w:tcW w:type="dxa" w:w="2016"/>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RPent套件</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Astra成功</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Sol成功</w:t>
            </w:r>
          </w:p>
        </w:tc>
        <w:tc>
          <w:tcPr>
            <w:tcW w:type="dxa" w:w="2621"/>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Astra均值 s</w:t>
            </w:r>
          </w:p>
        </w:tc>
        <w:tc>
          <w:tcPr>
            <w:tcW w:type="dxa" w:w="2621"/>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Sol均值 s</w:t>
            </w:r>
          </w:p>
        </w:tc>
      </w:tr>
      <w:tr>
        <w:trPr>
          <w:cantSplit/>
        </w:trPr>
        <w:tc>
          <w:tcPr>
            <w:tcW w:type="dxa" w:w="201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Spatial Task</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19/20</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17/20</w:t>
            </w:r>
          </w:p>
        </w:tc>
        <w:tc>
          <w:tcPr>
            <w:tcW w:type="dxa" w:w="2621"/>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787.4</w:t>
            </w:r>
          </w:p>
        </w:tc>
        <w:tc>
          <w:tcPr>
            <w:tcW w:type="dxa" w:w="2621"/>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1248.6</w:t>
            </w:r>
          </w:p>
        </w:tc>
      </w:tr>
      <w:tr>
        <w:trPr>
          <w:cantSplit/>
        </w:trPr>
        <w:tc>
          <w:tcPr>
            <w:tcW w:type="dxa" w:w="201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Spatial Swap</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20/20</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20/20</w:t>
            </w:r>
          </w:p>
        </w:tc>
        <w:tc>
          <w:tcPr>
            <w:tcW w:type="dxa" w:w="2621"/>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586.9</w:t>
            </w:r>
          </w:p>
        </w:tc>
        <w:tc>
          <w:tcPr>
            <w:tcW w:type="dxa" w:w="2621"/>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943.7</w:t>
            </w:r>
          </w:p>
        </w:tc>
      </w:tr>
      <w:tr>
        <w:trPr>
          <w:cantSplit/>
        </w:trPr>
        <w:tc>
          <w:tcPr>
            <w:tcW w:type="dxa" w:w="201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Long Swap</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11/20</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12/20</w:t>
            </w:r>
          </w:p>
        </w:tc>
        <w:tc>
          <w:tcPr>
            <w:tcW w:type="dxa" w:w="2621"/>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973.7</w:t>
            </w:r>
          </w:p>
        </w:tc>
        <w:tc>
          <w:tcPr>
            <w:tcW w:type="dxa" w:w="2621"/>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1630.1</w:t>
            </w:r>
          </w:p>
        </w:tc>
      </w:tr>
      <w:tr>
        <w:trPr>
          <w:cantSplit/>
        </w:trPr>
        <w:tc>
          <w:tcPr>
            <w:tcW w:type="dxa" w:w="201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合计</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50/60</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49/60</w:t>
            </w:r>
          </w:p>
        </w:tc>
        <w:tc>
          <w:tcPr>
            <w:tcW w:type="dxa" w:w="2621"/>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三套件分别分析</w:t>
            </w:r>
          </w:p>
        </w:tc>
        <w:tc>
          <w:tcPr>
            <w:tcW w:type="dxa" w:w="2621"/>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三套件分别分析</w:t>
            </w:r>
          </w:p>
        </w:tc>
      </w:tr>
    </w:tbl>
    <w:p>
      <w:pPr>
        <w:spacing w:after="0"/>
      </w:pPr>
    </w:p>
    <w:p>
      <w:pPr>
        <w:widowControl/>
      </w:pPr>
      <w:r>
        <w:rPr>
          <w:rFonts w:ascii="Arial" w:hAnsi="Arial" w:eastAsia="Hiragino Sans GB"/>
          <w:b w:val="0"/>
          <w:color w:val="000000"/>
        </w:rPr>
        <w:t>这组结果说明，评价模型要说明它承担哪一层任务。抓放中，大模型直接输出位姿与夹爪指令；RPent中，它主要选择技能、绑定目标、判断执行结果和发起恢复。两种设置要求的空间能力与动作精度不同。</w:t>
      </w:r>
    </w:p>
    <w:p>
      <w:pPr>
        <w:widowControl/>
      </w:pPr>
      <w:r>
        <w:rPr>
          <w:rFonts w:ascii="Arial" w:hAnsi="Arial" w:eastAsia="Hiragino Sans GB"/>
          <w:b w:val="0"/>
          <w:color w:val="000000"/>
        </w:rPr>
        <w:t>模型训练目标因此可以分层：第一层训练状态与子目标理解，第二层训练有限候选选择，第三层训练连续动作或技能接口。我们先提升最影响失败与轮次的那一层，再评估是否需要联合训练。</w:t>
      </w:r>
    </w:p>
    <w:p>
      <w:pPr>
        <w:widowControl/>
      </w:pPr>
      <w:r>
        <w:rPr>
          <w:rFonts w:ascii="Arial" w:hAnsi="Arial" w:eastAsia="Hiragino Sans GB"/>
          <w:b w:val="0"/>
          <w:color w:val="000000"/>
        </w:rPr>
        <w:t>Astra抓放中经过执行结果核验的定位、验证与恢复动作，可作为教师样例；子目标分解通过固定状态与共同候选进一步评价。Sol、DeepSeek和本地学生仍保留为对照，通过固定状态、相同候选和相同动作预算比较有效决策，而不是只比较自由生成文本。</w:t>
      </w:r>
    </w:p>
    <w:p>
      <w:pPr>
        <w:pStyle w:val="Heading2"/>
      </w:pPr>
      <w:r>
        <w:t>转为 PPT 第 6 页</w:t>
      </w:r>
    </w:p>
    <w:p>
      <w:pPr>
        <w:widowControl/>
      </w:pPr>
      <w:r>
        <w:rPr>
          <w:rFonts w:ascii="Arial" w:hAnsi="Arial" w:eastAsia="Hiragino Sans GB"/>
          <w:b w:val="0"/>
          <w:color w:val="000000"/>
        </w:rPr>
        <w:t>保留三套件成功数和耗时表，加一条“直接位姿控制 → 技能选择”的职责变化图。将模型层结论收束为“优势取决于模型承担的任务”。</w:t>
      </w:r>
    </w:p>
    <w:p>
      <w:pPr>
        <w:widowControl/>
      </w:pPr>
      <w:r>
        <w:rPr>
          <w:rFonts w:ascii="Arial" w:hAnsi="Arial" w:eastAsia="Hiragino Sans GB"/>
          <w:b w:val="0"/>
          <w:color w:val="555555"/>
          <w:sz w:val="17"/>
        </w:rPr>
        <w:t>来源 L04、L05；120集正式结果与运行账本〔E3〕。每模型每套件10任务×2seed；均值包含全部合格回合。</w:t>
      </w:r>
    </w:p>
    <w:p>
      <w:pPr>
        <w:pStyle w:val="Heading1"/>
        <w:pageBreakBefore/>
      </w:pPr>
      <w:r>
        <w:t>07 已测与候选 Harness 的决策分工</w:t>
      </w:r>
    </w:p>
    <w:p>
      <w:pPr>
        <w:widowControl/>
      </w:pPr>
      <w:r>
        <w:rPr>
          <w:rFonts w:ascii="Arial" w:hAnsi="Arial" w:eastAsia="Hiragino Sans GB"/>
          <w:b w:val="0"/>
          <w:color w:val="000000"/>
        </w:rPr>
        <w:t>Harness连接观测、模型、动作接口、工具、记忆与结束判据。我们已经跑过的架构可按“谁产生动作、谁批准执行、何时再次观察”进行比较；这个分工决定了调用频率和恢复成本。表中前五行对应已有实验，JEV为源码核查后的候选路线。〔E1/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2837"/>
        <w:gridCol w:w="2693"/>
      </w:tblGrid>
      <w:tr>
        <w:trPr>
          <w:cantSplit/>
          <w:tblHeader/>
        </w:trPr>
        <w:tc>
          <w:tcPr>
            <w:tcW w:type="dxa" w:w="223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路线</w:t>
            </w:r>
          </w:p>
        </w:tc>
        <w:tc>
          <w:tcPr>
            <w:tcW w:type="dxa" w:w="237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高层输出</w:t>
            </w:r>
          </w:p>
        </w:tc>
        <w:tc>
          <w:tcPr>
            <w:tcW w:type="dxa" w:w="2837"/>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低层执行</w:t>
            </w:r>
          </w:p>
        </w:tc>
        <w:tc>
          <w:tcPr>
            <w:tcW w:type="dxa" w:w="2693"/>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反馈节奏</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bowl直接控制</w:t>
            </w:r>
          </w:p>
        </w:tc>
        <w:tc>
          <w:tcPr>
            <w:tcW w:type="dxa" w:w="237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目标位姿与夹爪指令</w:t>
            </w:r>
          </w:p>
        </w:tc>
        <w:tc>
          <w:tcPr>
            <w:tcW w:type="dxa" w:w="2837"/>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OSC_POSE等控制器</w:t>
            </w:r>
          </w:p>
        </w:tc>
        <w:tc>
          <w:tcPr>
            <w:tcW w:type="dxa" w:w="269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每次工具执行后观察</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GPT-as-Policy Student</w:t>
            </w:r>
          </w:p>
        </w:tc>
        <w:tc>
          <w:tcPr>
            <w:tcW w:type="dxa" w:w="237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任务条件</w:t>
            </w:r>
          </w:p>
        </w:tc>
        <w:tc>
          <w:tcPr>
            <w:tcW w:type="dxa" w:w="2837"/>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π0.5动作块</w:t>
            </w:r>
          </w:p>
        </w:tc>
        <w:tc>
          <w:tcPr>
            <w:tcW w:type="dxa" w:w="2693"/>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执行前缀后取新图</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GPT-as-Policy Hybrid</w:t>
            </w:r>
          </w:p>
        </w:tc>
        <w:tc>
          <w:tcPr>
            <w:tcW w:type="dxa" w:w="237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放行、修改、接管或停止</w:t>
            </w:r>
          </w:p>
        </w:tc>
        <w:tc>
          <w:tcPr>
            <w:tcW w:type="dxa" w:w="2837"/>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π候选＋数值控制</w:t>
            </w:r>
          </w:p>
        </w:tc>
        <w:tc>
          <w:tcPr>
            <w:tcW w:type="dxa" w:w="269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逐动作块审核</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RPent普通模式</w:t>
            </w:r>
          </w:p>
        </w:tc>
        <w:tc>
          <w:tcPr>
            <w:tcW w:type="dxa" w:w="237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技能、目标与参数</w:t>
            </w:r>
          </w:p>
        </w:tc>
        <w:tc>
          <w:tcPr>
            <w:tcW w:type="dxa" w:w="2837"/>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π技能＋解析原语＋SAM定位</w:t>
            </w:r>
          </w:p>
        </w:tc>
        <w:tc>
          <w:tcPr>
            <w:tcW w:type="dxa" w:w="2693"/>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工具/技能结果后规划</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RPent Flash</w:t>
            </w:r>
          </w:p>
        </w:tc>
        <w:tc>
          <w:tcPr>
            <w:tcW w:type="dxa" w:w="237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冻结流程与检查</w:t>
            </w:r>
          </w:p>
        </w:tc>
        <w:tc>
          <w:tcPr>
            <w:tcW w:type="dxa" w:w="2837"/>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Molmo2定位＋π/原语</w:t>
            </w:r>
          </w:p>
        </w:tc>
        <w:tc>
          <w:tcPr>
            <w:tcW w:type="dxa" w:w="269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流程节点与重试条件</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JEV候选选择</w:t>
            </w:r>
          </w:p>
        </w:tc>
        <w:tc>
          <w:tcPr>
            <w:tcW w:type="dxa" w:w="237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有限候选中的选择及概率</w:t>
            </w:r>
          </w:p>
        </w:tc>
        <w:tc>
          <w:tcPr>
            <w:tcW w:type="dxa" w:w="2837"/>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由外部执行器落实</w:t>
            </w:r>
          </w:p>
        </w:tc>
        <w:tc>
          <w:tcPr>
            <w:tcW w:type="dxa" w:w="2693"/>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候选产生与状态更新时</w:t>
            </w:r>
          </w:p>
        </w:tc>
      </w:tr>
    </w:tbl>
    <w:p>
      <w:pPr>
        <w:spacing w:after="0"/>
      </w:pPr>
    </w:p>
    <w:p>
      <w:pPr>
        <w:widowControl/>
      </w:pPr>
      <w:r>
        <w:rPr>
          <w:rFonts w:ascii="Arial" w:hAnsi="Arial" w:eastAsia="Hiragino Sans GB"/>
          <w:b w:val="0"/>
          <w:color w:val="000000"/>
        </w:rPr>
        <w:t>直接控制给大模型最大动作自由度，也让模型承担坐标、尺度和接触细节。技能型架构把高频动作交给低层执行器，高层更专注于目标与异常；代价是技能覆盖和前后置条件要设计得清楚。</w:t>
      </w:r>
    </w:p>
    <w:p>
      <w:pPr>
        <w:widowControl/>
      </w:pPr>
      <w:r>
        <w:rPr>
          <w:rFonts w:ascii="Arial" w:hAnsi="Arial" w:eastAsia="Hiragino Sans GB"/>
          <w:b w:val="0"/>
          <w:color w:val="000000"/>
        </w:rPr>
        <w:t>JEV在本地项目中主要承担候选选择。它可以接在状态理解与技能执行之间；部署时要同时计算状态构造、候选生成、选择、校验和回退的总成本。</w:t>
      </w:r>
    </w:p>
    <w:p>
      <w:pPr>
        <w:pStyle w:val="Heading2"/>
      </w:pPr>
      <w:r>
        <w:t>转为 PPT 第 7 页</w:t>
      </w:r>
    </w:p>
    <w:p>
      <w:pPr>
        <w:widowControl/>
      </w:pPr>
      <w:r>
        <w:rPr>
          <w:rFonts w:ascii="Arial" w:hAnsi="Arial" w:eastAsia="Hiragino Sans GB"/>
          <w:b w:val="0"/>
          <w:color w:val="000000"/>
        </w:rPr>
        <w:t>保留六行职责矩阵，另画统一闭环“观测 → 状态 → 决策 → 执行 → 验收”。各架构只在对应位置标不同模块。</w:t>
      </w:r>
    </w:p>
    <w:p>
      <w:pPr>
        <w:widowControl/>
      </w:pPr>
      <w:r>
        <w:rPr>
          <w:rFonts w:ascii="Arial" w:hAnsi="Arial" w:eastAsia="Hiragino Sans GB"/>
          <w:b w:val="0"/>
          <w:color w:val="555555"/>
          <w:sz w:val="17"/>
        </w:rPr>
        <w:t>来源 L01、L09；公开架构与源码核查〔E1/E3〕。JEV为待与RPent对接的候选路线。</w:t>
      </w:r>
    </w:p>
    <w:p>
      <w:pPr>
        <w:pStyle w:val="Heading1"/>
        <w:pageBreakBefore/>
      </w:pPr>
      <w:r>
        <w:t>08 GPT as Policy 的三路线实测</w:t>
      </w:r>
    </w:p>
    <w:p>
      <w:pPr>
        <w:widowControl/>
      </w:pPr>
      <w:r>
        <w:rPr>
          <w:rFonts w:ascii="Arial" w:hAnsi="Arial" w:eastAsia="Hiragino Sans GB"/>
          <w:b w:val="0"/>
          <w:color w:val="000000"/>
        </w:rPr>
        <w:t>三任务九回合把架构差异直接体现为动作数与耗时。两罐入篮时三路线均完成，Student使用52轮、248.71秒；Hybrid为51轮、991.09秒；Direct为97轮、1428.97秒。〔E3〕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678"/>
        <w:gridCol w:w="2678"/>
        <w:gridCol w:w="2693"/>
      </w:tblGrid>
      <w:tr>
        <w:trPr>
          <w:cantSplit/>
          <w:tblHeader/>
        </w:trPr>
        <w:tc>
          <w:tcPr>
            <w:tcW w:type="dxa" w:w="208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任务</w:t>
            </w:r>
          </w:p>
        </w:tc>
        <w:tc>
          <w:tcPr>
            <w:tcW w:type="dxa" w:w="267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Student 结果／轮／秒</w:t>
            </w:r>
          </w:p>
        </w:tc>
        <w:tc>
          <w:tcPr>
            <w:tcW w:type="dxa" w:w="267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Direct 结果／轮／秒</w:t>
            </w:r>
          </w:p>
        </w:tc>
        <w:tc>
          <w:tcPr>
            <w:tcW w:type="dxa" w:w="2693"/>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Hybrid 结果／轮／秒</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两罐入篮</w:t>
            </w:r>
          </w:p>
        </w:tc>
        <w:tc>
          <w:tcPr>
            <w:tcW w:type="dxa" w:w="267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成／52／248.71</w:t>
            </w:r>
          </w:p>
        </w:tc>
        <w:tc>
          <w:tcPr>
            <w:tcW w:type="dxa" w:w="267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成／97／1428.97</w:t>
            </w:r>
          </w:p>
        </w:tc>
        <w:tc>
          <w:tcPr>
            <w:tcW w:type="dxa" w:w="269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成／51／991.09</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杯入微波炉并关门</w:t>
            </w:r>
          </w:p>
        </w:tc>
        <w:tc>
          <w:tcPr>
            <w:tcW w:type="dxa" w:w="267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成／70／262.34</w:t>
            </w:r>
          </w:p>
        </w:tc>
        <w:tc>
          <w:tcPr>
            <w:tcW w:type="dxa" w:w="267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败／105／1848.50</w:t>
            </w:r>
          </w:p>
        </w:tc>
        <w:tc>
          <w:tcPr>
            <w:tcW w:type="dxa" w:w="2693"/>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成／51／1026.64</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打开底层抽屉</w:t>
            </w:r>
          </w:p>
        </w:tc>
        <w:tc>
          <w:tcPr>
            <w:tcW w:type="dxa" w:w="267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败／60／296.02</w:t>
            </w:r>
          </w:p>
        </w:tc>
        <w:tc>
          <w:tcPr>
            <w:tcW w:type="dxa" w:w="267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败／64／1254.40</w:t>
            </w:r>
          </w:p>
        </w:tc>
        <w:tc>
          <w:tcPr>
            <w:tcW w:type="dxa" w:w="2693"/>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败／60／1377.62</w:t>
            </w:r>
          </w:p>
        </w:tc>
      </w:tr>
    </w:tbl>
    <w:p>
      <w:pPr>
        <w:spacing w:after="0"/>
      </w:pPr>
    </w:p>
    <w:p>
      <w:pPr>
        <w:widowControl/>
      </w:pPr>
      <w:r>
        <w:rPr>
          <w:rFonts w:ascii="Arial" w:hAnsi="Arial" w:eastAsia="Hiragino Sans GB"/>
          <w:b w:val="0"/>
          <w:color w:val="000000"/>
        </w:rPr>
        <w:t>在两罐任务中，Hybrid平均每轮18.82秒，Student为4.20秒。逐块审核增加了固定等待；罐子和微波炉两条Hybrid轨迹全程放行π候选。它们清楚显示了审核成本，也提供了“何时可以跳过审核”的实验入口。</w:t>
      </w:r>
    </w:p>
    <w:p>
      <w:pPr>
        <w:widowControl/>
      </w:pPr>
      <w:r>
        <w:rPr>
          <w:rFonts w:ascii="Arial" w:hAnsi="Arial" w:eastAsia="Hiragino Sans GB"/>
          <w:b w:val="0"/>
          <w:color w:val="000000"/>
        </w:rPr>
        <w:t>底层抽屉中，Hybrid有13轮末端接管，最终打开的是中层，底层关节仍为0。这里更值得训练的是目标部件与阶段状态的识别：单纯增加接管机会，没有自动解决目标选错的问题。</w:t>
      </w:r>
    </w:p>
    <w:p>
      <w:pPr>
        <w:widowControl/>
      </w:pPr>
      <w:r>
        <w:rPr>
          <w:rFonts w:ascii="Arial" w:hAnsi="Arial" w:eastAsia="Hiragino Sans GB"/>
          <w:b w:val="0"/>
          <w:color w:val="000000"/>
        </w:rPr>
        <w:t>早期18格条件实验的原生结果为Student 4/6、Direct 1/6、Hybrid 3/6；九回合采用新的逐轮协议，重点提供610轮细节。两批数据分别承担条件覆盖与过程解释的作用。</w:t>
      </w:r>
    </w:p>
    <w:p>
      <w:pPr>
        <w:pStyle w:val="Heading2"/>
      </w:pPr>
      <w:r>
        <w:t>转为 PPT 第 8 页</w:t>
      </w:r>
    </w:p>
    <w:p>
      <w:pPr>
        <w:widowControl/>
      </w:pPr>
      <w:r>
        <w:rPr>
          <w:rFonts w:ascii="Arial" w:hAnsi="Arial" w:eastAsia="Hiragino Sans GB"/>
          <w:b w:val="0"/>
          <w:color w:val="000000"/>
        </w:rPr>
        <w:t>保留九回合3×3表，旁边突出“全放行审核成本”和“13轮接管后底层仍未打开、中层已打开”两个过程事实。每格1个初态；成功数与过程分析分开讲。</w:t>
      </w:r>
    </w:p>
    <w:p>
      <w:pPr>
        <w:widowControl/>
      </w:pPr>
      <w:r>
        <w:rPr>
          <w:rFonts w:ascii="Arial" w:hAnsi="Arial" w:eastAsia="Hiragino Sans GB"/>
          <w:b w:val="0"/>
          <w:color w:val="555555"/>
          <w:sz w:val="17"/>
        </w:rPr>
        <w:t>来源 L03；九回合及18格实验〔E3〕，动作契约〔E1/E2〕。表中时间为runner回合墙钟。</w:t>
      </w:r>
    </w:p>
    <w:p>
      <w:pPr>
        <w:pStyle w:val="Heading1"/>
        <w:pageBreakBefore/>
      </w:pPr>
      <w:r>
        <w:t>09 RPent 普通模式与 Flash 的取舍</w:t>
      </w:r>
    </w:p>
    <w:p>
      <w:pPr>
        <w:widowControl/>
      </w:pPr>
      <w:r>
        <w:rPr>
          <w:rFonts w:ascii="Arial" w:hAnsi="Arial" w:eastAsia="Hiragino Sans GB"/>
          <w:b w:val="0"/>
          <w:color w:val="000000"/>
        </w:rPr>
        <w:t>RPent通过任务记忆、技能调用和局部反馈，把大模型从连续位姿控制移到任务规划。Flash进一步将已整理流程固定下来，使用Molmo2-8B定位并执行技能，减少在线规划需求。〔E1/E3〕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440"/>
        <w:gridCol w:w="3024"/>
        <w:gridCol w:w="3442"/>
      </w:tblGrid>
      <w:tr>
        <w:trPr>
          <w:cantSplit/>
          <w:tblHeader/>
        </w:trPr>
        <w:tc>
          <w:tcPr>
            <w:tcW w:type="dxa" w:w="223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实验</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首跑结果</w:t>
            </w:r>
          </w:p>
        </w:tc>
        <w:tc>
          <w:tcPr>
            <w:tcW w:type="dxa" w:w="302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运行方式</w:t>
            </w:r>
          </w:p>
        </w:tc>
        <w:tc>
          <w:tcPr>
            <w:tcW w:type="dxa" w:w="344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主要观察</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GLM Object Swap</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18/20</w:t>
            </w:r>
          </w:p>
        </w:tc>
        <w:tc>
          <w:tcPr>
            <w:tcW w:type="dxa" w:w="302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在线规划＋π技能</w:t>
            </w:r>
          </w:p>
        </w:tc>
        <w:tc>
          <w:tcPr>
            <w:tcW w:type="dxa" w:w="344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可重规划，仍有抓取与流程失败</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GLM libero_goal</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16/20</w:t>
            </w:r>
          </w:p>
        </w:tc>
        <w:tc>
          <w:tcPr>
            <w:tcW w:type="dxa" w:w="302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在线规划＋π技能</w:t>
            </w:r>
          </w:p>
        </w:tc>
        <w:tc>
          <w:tcPr>
            <w:tcW w:type="dxa" w:w="344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目标变化下需要阶段诊断</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Flash Object Swap</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15/20</w:t>
            </w:r>
          </w:p>
        </w:tc>
        <w:tc>
          <w:tcPr>
            <w:tcW w:type="dxa" w:w="302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冻结记忆＋Molmo2＋π</w:t>
            </w:r>
          </w:p>
        </w:tc>
        <w:tc>
          <w:tcPr>
            <w:tcW w:type="dxa" w:w="344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流程复用减少在线规划</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6个失败身份独立重跑</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5/6翻盘</w:t>
            </w:r>
          </w:p>
        </w:tc>
        <w:tc>
          <w:tcPr>
            <w:tcW w:type="dxa" w:w="302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相同身份再次尝试</w:t>
            </w:r>
          </w:p>
        </w:tc>
        <w:tc>
          <w:tcPr>
            <w:tcW w:type="dxa" w:w="344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失败恢复与累计成本值得单列</w:t>
            </w:r>
          </w:p>
        </w:tc>
      </w:tr>
    </w:tbl>
    <w:p>
      <w:pPr>
        <w:spacing w:after="0"/>
      </w:pPr>
    </w:p>
    <w:p>
      <w:pPr>
        <w:widowControl/>
      </w:pPr>
      <w:r>
        <w:rPr>
          <w:rFonts w:ascii="Arial" w:hAnsi="Arial" w:eastAsia="Hiragino Sans GB"/>
          <w:b w:val="0"/>
          <w:color w:val="000000"/>
        </w:rPr>
        <w:t>普通模式的优势是现场判断和恢复空间较大；Flash的优势是路径确定、规划开销低。两者的差别更像是“把哪些判断提前编排好”，因此可以沿稳定性逐步迁移，而不必一次把所有决策固定。</w:t>
      </w:r>
    </w:p>
    <w:p>
      <w:pPr>
        <w:widowControl/>
      </w:pPr>
      <w:r>
        <w:rPr>
          <w:rFonts w:ascii="Arial" w:hAnsi="Arial" w:eastAsia="Hiragino Sans GB"/>
          <w:b w:val="0"/>
          <w:color w:val="000000"/>
        </w:rPr>
        <w:t>先把已验证的接近、抓持检查和释放验收组合为复合技能，再把异常交回高层。任务记忆保存对象关系、技能前后置条件和有效恢复分支，比保存整段自由文本历史更利于复用。</w:t>
      </w:r>
    </w:p>
    <w:p>
      <w:pPr>
        <w:widowControl/>
      </w:pPr>
      <w:r>
        <w:rPr>
          <w:rFonts w:ascii="Arial" w:hAnsi="Arial" w:eastAsia="Hiragino Sans GB"/>
          <w:b w:val="0"/>
          <w:color w:val="000000"/>
        </w:rPr>
        <w:t>重跑的成本单独累计到最终完成成本中。这样能同时看到首跑质量、恢复能力与为成功付出的额外时间。</w:t>
      </w:r>
    </w:p>
    <w:p>
      <w:pPr>
        <w:pStyle w:val="Heading2"/>
      </w:pPr>
      <w:r>
        <w:t>转为 PPT 第 9 页</w:t>
      </w:r>
    </w:p>
    <w:p>
      <w:pPr>
        <w:widowControl/>
      </w:pPr>
      <w:r>
        <w:rPr>
          <w:rFonts w:ascii="Arial" w:hAnsi="Arial" w:eastAsia="Hiragino Sans GB"/>
          <w:b w:val="0"/>
          <w:color w:val="000000"/>
        </w:rPr>
        <w:t>保留首跑三行结果与“在线规划/冻结流程”双列流程图。重跑5/6放成独立一行，并强调比较首跑与retry-once的成本。</w:t>
      </w:r>
    </w:p>
    <w:p>
      <w:pPr>
        <w:widowControl/>
      </w:pPr>
      <w:r>
        <w:rPr>
          <w:rFonts w:ascii="Arial" w:hAnsi="Arial" w:eastAsia="Hiragino Sans GB"/>
          <w:b w:val="0"/>
          <w:color w:val="555555"/>
          <w:sz w:val="17"/>
        </w:rPr>
        <w:t>来源 L10；普通/Flash/重跑报告〔E3〕；Flash执行机制〔E1〕。原始成绩与retry-once结果分别保留。</w:t>
      </w:r>
    </w:p>
    <w:p>
      <w:pPr>
        <w:pStyle w:val="Heading1"/>
        <w:pageBreakBefore/>
      </w:pPr>
      <w:r>
        <w:t>10 RPent 的长任务瓶颈在阶段衔接</w:t>
      </w:r>
    </w:p>
    <w:p>
      <w:pPr>
        <w:widowControl/>
      </w:pPr>
      <w:r>
        <w:rPr>
          <w:rFonts w:ascii="Arial" w:hAnsi="Arial" w:eastAsia="Hiragino Sans GB"/>
          <w:b w:val="0"/>
          <w:color w:val="000000"/>
        </w:rPr>
        <w:t>120集结果中，Spatial Swap两模型都达到20/20，Long Swap分别为11/20和12/20。长任务增加了状态判断、技能连接和恢复的机会，也让中间错误不断累积。〔E3〕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520"/>
        <w:gridCol w:w="2520"/>
        <w:gridCol w:w="3298"/>
      </w:tblGrid>
      <w:tr>
        <w:trPr>
          <w:cantSplit/>
          <w:tblHeader/>
        </w:trPr>
        <w:tc>
          <w:tcPr>
            <w:tcW w:type="dxa" w:w="180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套件</w:t>
            </w:r>
          </w:p>
        </w:tc>
        <w:tc>
          <w:tcPr>
            <w:tcW w:type="dxa" w:w="252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Astra均值／中位 s</w:t>
            </w:r>
          </w:p>
        </w:tc>
        <w:tc>
          <w:tcPr>
            <w:tcW w:type="dxa" w:w="252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Sol均值／中位 s</w:t>
            </w:r>
          </w:p>
        </w:tc>
        <w:tc>
          <w:tcPr>
            <w:tcW w:type="dxa" w:w="329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解释重点</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Spatial Task</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787.4／676.8</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1248.6／811.6</w:t>
            </w:r>
          </w:p>
        </w:tc>
        <w:tc>
          <w:tcPr>
            <w:tcW w:type="dxa" w:w="329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同身份下的调用与动作路径</w:t>
            </w:r>
          </w:p>
        </w:tc>
      </w:tr>
      <w:tr>
        <w:trPr>
          <w:cantSplit/>
        </w:trPr>
        <w:tc>
          <w:tcPr>
            <w:tcW w:type="dxa" w:w="180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Spatial Swap</w:t>
            </w:r>
          </w:p>
        </w:tc>
        <w:tc>
          <w:tcPr>
            <w:tcW w:type="dxa" w:w="25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586.9／560.0</w:t>
            </w:r>
          </w:p>
        </w:tc>
        <w:tc>
          <w:tcPr>
            <w:tcW w:type="dxa" w:w="25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943.7／828.9</w:t>
            </w:r>
          </w:p>
        </w:tc>
        <w:tc>
          <w:tcPr>
            <w:tcW w:type="dxa" w:w="329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高成功率条件下的效率差</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Long Swap</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973.7／919.5</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1630.1／1332.8</w:t>
            </w:r>
          </w:p>
        </w:tc>
        <w:tc>
          <w:tcPr>
            <w:tcW w:type="dxa" w:w="329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阶段衔接、恢复和长尾</w:t>
            </w:r>
          </w:p>
        </w:tc>
      </w:tr>
    </w:tbl>
    <w:p>
      <w:pPr>
        <w:spacing w:after="0"/>
      </w:pPr>
    </w:p>
    <w:p>
      <w:pPr>
        <w:widowControl/>
      </w:pPr>
      <w:r>
        <w:rPr>
          <w:rFonts w:ascii="Arial" w:hAnsi="Arial" w:eastAsia="Hiragino Sans GB"/>
          <w:b w:val="0"/>
          <w:color w:val="000000"/>
        </w:rPr>
        <w:t>均值高于中位数提示少数长回合在拉高总成本。Sol Long中的t8/seed1耗时5348.4秒，报告包含连接等待；这个样本适合分析服务链路长尾。将其与普通回合并列，可以同时看到实际运行成本与典型任务速度。</w:t>
      </w:r>
    </w:p>
    <w:p>
      <w:pPr>
        <w:widowControl/>
      </w:pPr>
      <w:r>
        <w:rPr>
          <w:rFonts w:ascii="Arial" w:hAnsi="Arial" w:eastAsia="Hiragino Sans GB"/>
          <w:b w:val="0"/>
          <w:color w:val="000000"/>
        </w:rPr>
        <w:t>对长任务的改进，优先围绕每个子目标建立可检查的状态：物体是否随夹爪移动、目标区域是否到达、释放后物体是否保持、抽屉是否出现预期打开效果。关节阈值由独立评估器记录。局部失败先在技能内部恢复，超过预算再请求全局重规划。</w:t>
      </w:r>
    </w:p>
    <w:p>
      <w:pPr>
        <w:widowControl/>
      </w:pPr>
      <w:r>
        <w:rPr>
          <w:rFonts w:ascii="Arial" w:hAnsi="Arial" w:eastAsia="Hiragino Sans GB"/>
          <w:b w:val="0"/>
          <w:color w:val="000000"/>
        </w:rPr>
        <w:t>这也解释了为什么模型训练和Harness调整应配合：前者提高判断质量，后者把判断落实为执行条件与恢复规则。</w:t>
      </w:r>
    </w:p>
    <w:p>
      <w:pPr>
        <w:pStyle w:val="Heading2"/>
      </w:pPr>
      <w:r>
        <w:t>转为 PPT 第 10 页</w:t>
      </w:r>
    </w:p>
    <w:p>
      <w:pPr>
        <w:widowControl/>
      </w:pPr>
      <w:r>
        <w:rPr>
          <w:rFonts w:ascii="Arial" w:hAnsi="Arial" w:eastAsia="Hiragino Sans GB"/>
          <w:b w:val="0"/>
          <w:color w:val="000000"/>
        </w:rPr>
        <w:t>保留三个套件的均值/中位表和成功数，配一条长任务阶段链。在长尾侧标注t8/s1的5348.4秒与连接等待类别。</w:t>
      </w:r>
    </w:p>
    <w:p>
      <w:pPr>
        <w:widowControl/>
      </w:pPr>
      <w:r>
        <w:rPr>
          <w:rFonts w:ascii="Arial" w:hAnsi="Arial" w:eastAsia="Hiragino Sans GB"/>
          <w:b w:val="0"/>
          <w:color w:val="555555"/>
          <w:sz w:val="17"/>
        </w:rPr>
        <w:t>来源 L04、L05；120集正式统计〔E3〕。阶段检查与恢复设计〔E3〕。</w:t>
      </w:r>
    </w:p>
    <w:p>
      <w:pPr>
        <w:pStyle w:val="Heading1"/>
        <w:pageBreakBefore/>
      </w:pPr>
      <w:r>
        <w:t>11 Harness 改进应从高价值决策开始</w:t>
      </w:r>
    </w:p>
    <w:p>
      <w:pPr>
        <w:widowControl/>
      </w:pPr>
      <w:r>
        <w:rPr>
          <w:rFonts w:ascii="Arial" w:hAnsi="Arial" w:eastAsia="Hiragino Sans GB"/>
          <w:b w:val="0"/>
          <w:color w:val="000000"/>
        </w:rPr>
        <w:t>现有实验指向同一个设计方向：高层负责目标变化、失败诊断和策略切换，低层在明确约束下连续执行。稳定动作无需每块都获得一次大模型批准；高风险或偏离预期时则及时重新观察和规划。〔E3〕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946"/>
      </w:tblGrid>
      <w:tr>
        <w:trPr>
          <w:cantSplit/>
          <w:tblHeader/>
        </w:trPr>
        <w:tc>
          <w:tcPr>
            <w:tcW w:type="dxa" w:w="244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已有现象</w:t>
            </w:r>
          </w:p>
        </w:tc>
        <w:tc>
          <w:tcPr>
            <w:tcW w:type="dxa" w:w="374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建议调整</w:t>
            </w:r>
          </w:p>
        </w:tc>
        <w:tc>
          <w:tcPr>
            <w:tcW w:type="dxa" w:w="394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验证指标</w:t>
            </w:r>
          </w:p>
        </w:tc>
      </w:tr>
      <w:tr>
        <w:trPr>
          <w:cantSplit/>
        </w:trPr>
        <w:tc>
          <w:tcPr>
            <w:tcW w:type="dxa" w:w="244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Hybrid多轮全部放行</w:t>
            </w:r>
          </w:p>
        </w:tc>
        <w:tc>
          <w:tcPr>
            <w:tcW w:type="dxa" w:w="37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以进展与风险事件触发审核</w:t>
            </w:r>
          </w:p>
        </w:tc>
        <w:tc>
          <w:tcPr>
            <w:tcW w:type="dxa" w:w="394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高层请求数、漏检率、成功率</w:t>
            </w:r>
          </w:p>
        </w:tc>
      </w:tr>
      <w:tr>
        <w:trPr>
          <w:cantSplit/>
        </w:trPr>
        <w:tc>
          <w:tcPr>
            <w:tcW w:type="dxa" w:w="244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抓空、滑落和重复接近</w:t>
            </w:r>
          </w:p>
        </w:tc>
        <w:tc>
          <w:tcPr>
            <w:tcW w:type="dxa" w:w="374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加入抓持判据与有界局部恢复</w:t>
            </w:r>
          </w:p>
        </w:tc>
        <w:tc>
          <w:tcPr>
            <w:tcW w:type="dxa" w:w="394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恢复次数、恢复成功率、恢复时间</w:t>
            </w:r>
          </w:p>
        </w:tc>
      </w:tr>
      <w:tr>
        <w:trPr>
          <w:cantSplit/>
        </w:trPr>
        <w:tc>
          <w:tcPr>
            <w:tcW w:type="dxa" w:w="244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长程阶段衔接失败</w:t>
            </w:r>
          </w:p>
        </w:tc>
        <w:tc>
          <w:tcPr>
            <w:tcW w:type="dxa" w:w="37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显式状态机与技能前后置条件</w:t>
            </w:r>
          </w:p>
        </w:tc>
        <w:tc>
          <w:tcPr>
            <w:tcW w:type="dxa" w:w="394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阶段完成率、首次失败位置</w:t>
            </w:r>
          </w:p>
        </w:tc>
      </w:tr>
      <w:tr>
        <w:trPr>
          <w:cantSplit/>
        </w:trPr>
        <w:tc>
          <w:tcPr>
            <w:tcW w:type="dxa" w:w="244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历史和工具输出增长</w:t>
            </w:r>
          </w:p>
        </w:tc>
        <w:tc>
          <w:tcPr>
            <w:tcW w:type="dxa" w:w="374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状态摘要＋冻结经验检索</w:t>
            </w:r>
          </w:p>
        </w:tc>
        <w:tc>
          <w:tcPr>
            <w:tcW w:type="dxa" w:w="394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输入Token、缓存、决策一致性</w:t>
            </w:r>
          </w:p>
        </w:tc>
      </w:tr>
      <w:tr>
        <w:trPr>
          <w:cantSplit/>
        </w:trPr>
        <w:tc>
          <w:tcPr>
            <w:tcW w:type="dxa" w:w="244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每轮生成再选择</w:t>
            </w:r>
          </w:p>
        </w:tc>
        <w:tc>
          <w:tcPr>
            <w:tcW w:type="dxa" w:w="37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复用候选库并按事件更新</w:t>
            </w:r>
          </w:p>
        </w:tc>
        <w:tc>
          <w:tcPr>
            <w:tcW w:type="dxa" w:w="394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候选成本＋选择成本＋回退成本</w:t>
            </w:r>
          </w:p>
        </w:tc>
      </w:tr>
    </w:tbl>
    <w:p>
      <w:pPr>
        <w:spacing w:after="0"/>
      </w:pPr>
    </w:p>
    <w:p>
      <w:pPr>
        <w:widowControl/>
      </w:pPr>
      <w:r>
        <w:rPr>
          <w:rFonts w:ascii="Arial" w:hAnsi="Arial" w:eastAsia="Hiragino Sans GB"/>
          <w:b w:val="0"/>
          <w:color w:val="000000"/>
        </w:rPr>
        <w:t>Flash、COAP与EmbodiedEvo提供了三个互补思路：固定成熟流程，把状态与控制规则写成程序，以及积累可复用经验。我们可以先在RPent的抓取与长任务节点试验这些机制，保留π执行器和统一终态评测。</w:t>
      </w:r>
    </w:p>
    <w:p>
      <w:pPr>
        <w:widowControl/>
      </w:pPr>
      <w:r>
        <w:rPr>
          <w:rFonts w:ascii="Arial" w:hAnsi="Arial" w:eastAsia="Hiragino Sans GB"/>
          <w:b w:val="0"/>
          <w:color w:val="000000"/>
        </w:rPr>
        <w:t>JEV适合加入“在有限技能中选哪一个”的消融。与Astra共同使用时，Astra可低频解释场景和生成新子目标，JEV在已有候选中选择；只有当这一步减少高层调用、错误或恢复时，系统才会获得净收益。</w:t>
      </w:r>
    </w:p>
    <w:p>
      <w:pPr>
        <w:pStyle w:val="Heading2"/>
      </w:pPr>
      <w:r>
        <w:t>转为 PPT 第 11 页</w:t>
      </w:r>
    </w:p>
    <w:p>
      <w:pPr>
        <w:widowControl/>
      </w:pPr>
      <w:r>
        <w:rPr>
          <w:rFonts w:ascii="Arial" w:hAnsi="Arial" w:eastAsia="Hiragino Sans GB"/>
          <w:b w:val="0"/>
          <w:color w:val="000000"/>
        </w:rPr>
        <w:t>保留“现象→改动→指标”五行表，以及事件触发控制图。突出高价值决策是目标变化、进展异常和策略切换。</w:t>
      </w:r>
    </w:p>
    <w:p>
      <w:pPr>
        <w:widowControl/>
      </w:pPr>
      <w:r>
        <w:rPr>
          <w:rFonts w:ascii="Arial" w:hAnsi="Arial" w:eastAsia="Hiragino Sans GB"/>
          <w:b w:val="0"/>
          <w:color w:val="555555"/>
          <w:sz w:val="17"/>
        </w:rPr>
        <w:t>来源 L03、L09–L12；现有实验与机制核查〔E1/E3〕。建议机制与预期收益为待测设计〔E3〕。</w:t>
      </w:r>
    </w:p>
    <w:p>
      <w:pPr>
        <w:pStyle w:val="Heading1"/>
        <w:pageBreakBefore/>
      </w:pPr>
      <w:r>
        <w:t>12 从整集耗时进入请求与计算阶段</w:t>
      </w:r>
    </w:p>
    <w:p>
      <w:pPr>
        <w:widowControl/>
      </w:pPr>
      <w:r>
        <w:rPr>
          <w:rFonts w:ascii="Arial" w:hAnsi="Arial" w:eastAsia="Hiragino Sans GB"/>
          <w:b w:val="0"/>
          <w:color w:val="000000"/>
        </w:rPr>
        <w:t>性能分析采用两条轴：整集轴记录初始化、请求、工具、执行和恢复；请求轴记录准备、首输出等待和后续生成。前者回答任务为何耗时，后者定位一次模型调用的主要等待。〔E1/E3〕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824"/>
        <w:gridCol w:w="3370"/>
      </w:tblGrid>
      <w:tr>
        <w:trPr>
          <w:cantSplit/>
          <w:tblHeader/>
        </w:trPr>
        <w:tc>
          <w:tcPr>
            <w:tcW w:type="dxa" w:w="1944"/>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指标</w:t>
            </w:r>
          </w:p>
        </w:tc>
        <w:tc>
          <w:tcPr>
            <w:tcW w:type="dxa" w:w="482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起止事件或计算方法</w:t>
            </w:r>
          </w:p>
        </w:tc>
        <w:tc>
          <w:tcPr>
            <w:tcW w:type="dxa" w:w="337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用于判断</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Episode墙钟</w:t>
            </w:r>
          </w:p>
        </w:tc>
        <w:tc>
          <w:tcPr>
            <w:tcW w:type="dxa" w:w="482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runner开始至回合结束</w:t>
            </w:r>
          </w:p>
        </w:tc>
        <w:tc>
          <w:tcPr>
            <w:tcW w:type="dxa" w:w="33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用户实际等待与任务总成本</w:t>
            </w:r>
          </w:p>
        </w:tc>
      </w:tr>
      <w:tr>
        <w:trPr>
          <w:cantSplit/>
        </w:trPr>
        <w:tc>
          <w:tcPr>
            <w:tcW w:type="dxa" w:w="194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完整决策时延</w:t>
            </w:r>
          </w:p>
        </w:tc>
        <w:tc>
          <w:tcPr>
            <w:tcW w:type="dxa" w:w="482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请求开始至可执行结构化结果收齐</w:t>
            </w:r>
          </w:p>
        </w:tc>
        <w:tc>
          <w:tcPr>
            <w:tcW w:type="dxa" w:w="33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动作何时可以开始</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TTFT</w:t>
            </w:r>
          </w:p>
        </w:tc>
        <w:tc>
          <w:tcPr>
            <w:tcW w:type="dxa" w:w="482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请求开始至采集器首个有效输出事件</w:t>
            </w:r>
          </w:p>
        </w:tc>
        <w:tc>
          <w:tcPr>
            <w:tcW w:type="dxa" w:w="33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首输出前的整体等待</w:t>
            </w:r>
          </w:p>
        </w:tc>
      </w:tr>
      <w:tr>
        <w:trPr>
          <w:cantSplit/>
        </w:trPr>
        <w:tc>
          <w:tcPr>
            <w:tcW w:type="dxa" w:w="194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可见thinking窗口</w:t>
            </w:r>
          </w:p>
        </w:tc>
        <w:tc>
          <w:tcPr>
            <w:tcW w:type="dxa" w:w="482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首个reasoning事件至对应窗口结束</w:t>
            </w:r>
          </w:p>
        </w:tc>
        <w:tc>
          <w:tcPr>
            <w:tcW w:type="dxa" w:w="33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可见推理输出阶段</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可见decode窗口</w:t>
            </w:r>
          </w:p>
        </w:tc>
        <w:tc>
          <w:tcPr>
            <w:tcW w:type="dxa" w:w="482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正文或工具输出的事件窗口</w:t>
            </w:r>
          </w:p>
        </w:tc>
        <w:tc>
          <w:tcPr>
            <w:tcW w:type="dxa" w:w="33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输出生成与传输阶段</w:t>
            </w:r>
          </w:p>
        </w:tc>
      </w:tr>
      <w:tr>
        <w:trPr>
          <w:cantSplit/>
        </w:trPr>
        <w:tc>
          <w:tcPr>
            <w:tcW w:type="dxa" w:w="194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TPOT均值代理</w:t>
            </w:r>
          </w:p>
        </w:tc>
        <w:tc>
          <w:tcPr>
            <w:tcW w:type="dxa" w:w="482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（末输出−首有效输出事件）÷（output Token−1），ms/token</w:t>
            </w:r>
          </w:p>
        </w:tc>
        <w:tc>
          <w:tcPr>
            <w:tcW w:type="dxa" w:w="33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请求平均生成速度</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服务端prefill</w:t>
            </w:r>
          </w:p>
        </w:tc>
        <w:tc>
          <w:tcPr>
            <w:tcW w:type="dxa" w:w="482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服务端输入计算起止trace</w:t>
            </w:r>
          </w:p>
        </w:tc>
        <w:tc>
          <w:tcPr>
            <w:tcW w:type="dxa" w:w="33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输入计算与缓存策略</w:t>
            </w:r>
          </w:p>
        </w:tc>
      </w:tr>
    </w:tbl>
    <w:p>
      <w:pPr>
        <w:spacing w:after="0"/>
      </w:pPr>
    </w:p>
    <w:p>
      <w:pPr>
        <w:widowControl/>
      </w:pPr>
      <w:r>
        <w:rPr>
          <w:rFonts w:ascii="Arial" w:hAnsi="Arial" w:eastAsia="Hiragino Sans GB"/>
          <w:b w:val="0"/>
          <w:color w:val="000000"/>
        </w:rPr>
        <w:t>本批按 T_episode = T_SDK非工具 + T_工具并集 + T_SDK外 对账；恢复动作计入工具执行，并另标恢复标签。模型加载单列，从冷启动计算总等待时再加入。异步路径按区间并集和关键路径计算。</w:t>
      </w:r>
    </w:p>
    <w:p>
      <w:pPr>
        <w:widowControl/>
      </w:pPr>
      <w:r>
        <w:rPr>
          <w:rFonts w:ascii="Arial" w:hAnsi="Arial" w:eastAsia="Hiragino Sans GB"/>
          <w:b w:val="0"/>
          <w:color w:val="000000"/>
        </w:rPr>
        <w:t>首输出前包含客户端准备、网络、服务端排队及计算。正文统一使用“TTFT”或“首输出前代理”；真正的prefill使用服务端trace。分片到达间隔保留为事件指标，TPOT则按Token数归一。</w:t>
      </w:r>
    </w:p>
    <w:p>
      <w:pPr>
        <w:pStyle w:val="Heading2"/>
      </w:pPr>
      <w:r>
        <w:t>转为 PPT 第 12 页</w:t>
      </w:r>
    </w:p>
    <w:p>
      <w:pPr>
        <w:widowControl/>
      </w:pPr>
      <w:r>
        <w:rPr>
          <w:rFonts w:ascii="Arial" w:hAnsi="Arial" w:eastAsia="Hiragino Sans GB"/>
          <w:b w:val="0"/>
          <w:color w:val="000000"/>
        </w:rPr>
        <w:t>保留一条请求时间轴与上表的关键定义。完整决策时延画到JSON校验通过处，TTFT画到首输出处；服务端prefill用独立待采trace区间表示。</w:t>
      </w:r>
    </w:p>
    <w:p>
      <w:pPr>
        <w:widowControl/>
      </w:pPr>
      <w:r>
        <w:rPr>
          <w:rFonts w:ascii="Arial" w:hAnsi="Arial" w:eastAsia="Hiragino Sans GB"/>
          <w:b w:val="0"/>
          <w:color w:val="555555"/>
          <w:sz w:val="17"/>
        </w:rPr>
        <w:t>来源 L07的measurement-source与proxy-source-audit〔E1〕；本报告统一展示口径〔E3〕。所有阶段注明客户端/服务端及是否嵌套。</w:t>
      </w:r>
    </w:p>
    <w:p>
      <w:pPr>
        <w:pStyle w:val="Heading1"/>
        <w:pageBreakBefore/>
      </w:pPr>
      <w:r>
        <w:t>13 计时数据按批次建立账本</w:t>
      </w:r>
    </w:p>
    <w:p>
      <w:pPr>
        <w:widowControl/>
      </w:pPr>
      <w:r>
        <w:rPr>
          <w:rFonts w:ascii="Arial" w:hAnsi="Arial" w:eastAsia="Hiragino Sans GB"/>
          <w:b w:val="0"/>
          <w:color w:val="000000"/>
        </w:rPr>
        <w:t>现有记录覆盖整集、请求、工具和芯片调用等多个层次。我们先按实验身份建立台账，再在各批次内计算统计量；同一请求的后续审计仍归入原实验。〔E3〕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522"/>
      </w:tblGrid>
      <w:tr>
        <w:trPr>
          <w:cantSplit/>
          <w:tblHeader/>
        </w:trPr>
        <w:tc>
          <w:tcPr>
            <w:tcW w:type="dxa" w:w="208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数据集合</w:t>
            </w:r>
          </w:p>
        </w:tc>
        <w:tc>
          <w:tcPr>
            <w:tcW w:type="dxa" w:w="352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数量</w:t>
            </w:r>
          </w:p>
        </w:tc>
        <w:tc>
          <w:tcPr>
            <w:tcW w:type="dxa" w:w="452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主要用途</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RPent正式对照</w:t>
            </w:r>
          </w:p>
        </w:tc>
        <w:tc>
          <w:tcPr>
            <w:tcW w:type="dxa" w:w="35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120集；5014计量响应</w:t>
            </w:r>
          </w:p>
        </w:tc>
        <w:tc>
          <w:tcPr>
            <w:tcW w:type="dxa" w:w="452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成功、轮次、Token与五类互斥时间</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RPent独立深测</w:t>
            </w:r>
          </w:p>
        </w:tc>
        <w:tc>
          <w:tcPr>
            <w:tcW w:type="dxa" w:w="35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8集；448逻辑轮；473尝试</w:t>
            </w:r>
          </w:p>
        </w:tc>
        <w:tc>
          <w:tcPr>
            <w:tcW w:type="dxa" w:w="452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请求/工具时间轴，π、SAM、物理与渲染</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DeepSeek原非流式</w:t>
            </w:r>
          </w:p>
        </w:tc>
        <w:tc>
          <w:tcPr>
            <w:tcW w:type="dxa" w:w="35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8集；306响应记录</w:t>
            </w:r>
          </w:p>
        </w:tc>
        <w:tc>
          <w:tcPr>
            <w:tcW w:type="dxa" w:w="452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整请求与回合时长</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DeepSeek流式补测</w:t>
            </w:r>
          </w:p>
        </w:tc>
        <w:tc>
          <w:tcPr>
            <w:tcW w:type="dxa" w:w="35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8集；178尝试；177有效TTFT</w:t>
            </w:r>
          </w:p>
        </w:tc>
        <w:tc>
          <w:tcPr>
            <w:tcW w:type="dxa" w:w="452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TTFT、可见窗口、TPOT与重试</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代理指标独立来源</w:t>
            </w:r>
          </w:p>
        </w:tc>
        <w:tc>
          <w:tcPr>
            <w:tcW w:type="dxa" w:w="35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25文件484行；355有效流式</w:t>
            </w:r>
          </w:p>
        </w:tc>
        <w:tc>
          <w:tcPr>
            <w:tcW w:type="dxa" w:w="452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provider、运行身份与字段审计</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最终分阶段表</w:t>
            </w:r>
          </w:p>
        </w:tc>
        <w:tc>
          <w:tcPr>
            <w:tcW w:type="dxa" w:w="35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458行，23组；457有效TTFT</w:t>
            </w:r>
          </w:p>
        </w:tc>
        <w:tc>
          <w:tcPr>
            <w:tcW w:type="dxa" w:w="452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178流式补测＋280精确归属DeepSeek代理行</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请求重放与专项</w:t>
            </w:r>
          </w:p>
        </w:tc>
        <w:tc>
          <w:tcPr>
            <w:tcW w:type="dxa" w:w="35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9体42次发送；另有单局报告</w:t>
            </w:r>
          </w:p>
        </w:tc>
        <w:tc>
          <w:tcPr>
            <w:tcW w:type="dxa" w:w="452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固定载荷、冷暖缓存、请求长尾</w:t>
            </w:r>
          </w:p>
        </w:tc>
      </w:tr>
    </w:tbl>
    <w:p>
      <w:pPr>
        <w:spacing w:after="0"/>
      </w:pPr>
    </w:p>
    <w:p>
      <w:pPr>
        <w:widowControl/>
      </w:pPr>
      <w:r>
        <w:rPr>
          <w:rFonts w:ascii="Arial" w:hAnsi="Arial" w:eastAsia="Hiragino Sans GB"/>
          <w:b w:val="0"/>
          <w:color w:val="000000"/>
        </w:rPr>
        <w:t>这份账本将两个“484条”拆开：306＋178是非流式与流式机器人批次；25份代理文件的484行来自另一采集源。最终458行分析表复用了其中部分记录，统计时按批次和运行身份筛选。</w:t>
      </w:r>
    </w:p>
    <w:p>
      <w:pPr>
        <w:widowControl/>
      </w:pPr>
      <w:r>
        <w:rPr>
          <w:rFonts w:ascii="Arial" w:hAnsi="Arial" w:eastAsia="Hiragino Sans GB"/>
          <w:b w:val="0"/>
          <w:color w:val="000000"/>
        </w:rPr>
        <w:t>复算采用逐请求或逐回合等权，p95按排序后(n−1)×0.95线性插值。累计输入包含重复历史，cached input是input子集，reasoning是output子集。</w:t>
      </w:r>
    </w:p>
    <w:p>
      <w:pPr>
        <w:pStyle w:val="Heading2"/>
      </w:pPr>
      <w:r>
        <w:t>转为 PPT 第 13 页</w:t>
      </w:r>
    </w:p>
    <w:p>
      <w:pPr>
        <w:widowControl/>
      </w:pPr>
      <w:r>
        <w:rPr>
          <w:rFonts w:ascii="Arial" w:hAnsi="Arial" w:eastAsia="Hiragino Sans GB"/>
          <w:b w:val="0"/>
          <w:color w:val="000000"/>
        </w:rPr>
        <w:t>保留样本台账和“来源→筛选→分析表”的流向图。用不同颜色区分120集、深测8集、DS流式8集与代理单局。</w:t>
      </w:r>
    </w:p>
    <w:p>
      <w:pPr>
        <w:widowControl/>
      </w:pPr>
      <w:r>
        <w:rPr>
          <w:rFonts w:ascii="Arial" w:hAnsi="Arial" w:eastAsia="Hiragino Sans GB"/>
          <w:b w:val="0"/>
          <w:color w:val="555555"/>
          <w:sz w:val="17"/>
        </w:rPr>
        <w:t>来源 L01、L05–L07；结构化证据复算〔E3〕。代理355有效流式中287为DeepSeek、68为Qwen；280为精确归属的DeepSeek运行。</w:t>
      </w:r>
    </w:p>
    <w:p>
      <w:pPr>
        <w:pStyle w:val="Heading1"/>
        <w:pageBreakBefore/>
      </w:pPr>
      <w:r>
        <w:t>14 RPent 120 集的时间分布</w:t>
      </w:r>
    </w:p>
    <w:p>
      <w:pPr>
        <w:widowControl/>
      </w:pPr>
      <w:r>
        <w:rPr>
          <w:rFonts w:ascii="Arial" w:hAnsi="Arial" w:eastAsia="Hiragino Sans GB"/>
          <w:b w:val="0"/>
          <w:color w:val="000000"/>
        </w:rPr>
        <w:t>120集合计123408.4秒回合工作量，SDK非工具部分占43.27%，手工原语与VLA原语合计占44.32%。模型请求链路和动作执行是两块相近的大头，优化应同时覆盖两侧。〔E3〕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66"/>
        <w:gridCol w:w="2736"/>
        <w:gridCol w:w="2736"/>
      </w:tblGrid>
      <w:tr>
        <w:trPr>
          <w:cantSplit/>
          <w:tblHeader/>
        </w:trPr>
        <w:tc>
          <w:tcPr>
            <w:tcW w:type="dxa" w:w="4666"/>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互斥时间类别</w:t>
            </w:r>
          </w:p>
        </w:tc>
        <w:tc>
          <w:tcPr>
            <w:tcW w:type="dxa" w:w="273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累计 s</w:t>
            </w:r>
          </w:p>
        </w:tc>
        <w:tc>
          <w:tcPr>
            <w:tcW w:type="dxa" w:w="273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占回合工作量</w:t>
            </w:r>
          </w:p>
        </w:tc>
      </w:tr>
      <w:tr>
        <w:trPr>
          <w:cantSplit/>
        </w:trPr>
        <w:tc>
          <w:tcPr>
            <w:tcW w:type="dxa" w:w="466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手工原语</w:t>
            </w:r>
          </w:p>
        </w:tc>
        <w:tc>
          <w:tcPr>
            <w:tcW w:type="dxa" w:w="27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45,327.57</w:t>
            </w:r>
          </w:p>
        </w:tc>
        <w:tc>
          <w:tcPr>
            <w:tcW w:type="dxa" w:w="27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36.73%</w:t>
            </w:r>
          </w:p>
        </w:tc>
      </w:tr>
      <w:tr>
        <w:trPr>
          <w:cantSplit/>
        </w:trPr>
        <w:tc>
          <w:tcPr>
            <w:tcW w:type="dxa" w:w="466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VLA原语</w:t>
            </w:r>
          </w:p>
        </w:tc>
        <w:tc>
          <w:tcPr>
            <w:tcW w:type="dxa" w:w="27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9,367.08</w:t>
            </w:r>
          </w:p>
        </w:tc>
        <w:tc>
          <w:tcPr>
            <w:tcW w:type="dxa" w:w="27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7.59%</w:t>
            </w:r>
          </w:p>
        </w:tc>
      </w:tr>
      <w:tr>
        <w:trPr>
          <w:cantSplit/>
        </w:trPr>
        <w:tc>
          <w:tcPr>
            <w:tcW w:type="dxa" w:w="466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工具其余</w:t>
            </w:r>
          </w:p>
        </w:tc>
        <w:tc>
          <w:tcPr>
            <w:tcW w:type="dxa" w:w="27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12,429.82</w:t>
            </w:r>
          </w:p>
        </w:tc>
        <w:tc>
          <w:tcPr>
            <w:tcW w:type="dxa" w:w="27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10.07%</w:t>
            </w:r>
          </w:p>
        </w:tc>
      </w:tr>
      <w:tr>
        <w:trPr>
          <w:cantSplit/>
        </w:trPr>
        <w:tc>
          <w:tcPr>
            <w:tcW w:type="dxa" w:w="466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SDK非工具</w:t>
            </w:r>
          </w:p>
        </w:tc>
        <w:tc>
          <w:tcPr>
            <w:tcW w:type="dxa" w:w="27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53,394.03</w:t>
            </w:r>
          </w:p>
        </w:tc>
        <w:tc>
          <w:tcPr>
            <w:tcW w:type="dxa" w:w="27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43.27%</w:t>
            </w:r>
          </w:p>
        </w:tc>
      </w:tr>
      <w:tr>
        <w:trPr>
          <w:cantSplit/>
        </w:trPr>
        <w:tc>
          <w:tcPr>
            <w:tcW w:type="dxa" w:w="466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SDK外</w:t>
            </w:r>
          </w:p>
        </w:tc>
        <w:tc>
          <w:tcPr>
            <w:tcW w:type="dxa" w:w="27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2,889.90</w:t>
            </w:r>
          </w:p>
        </w:tc>
        <w:tc>
          <w:tcPr>
            <w:tcW w:type="dxa" w:w="27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2.34%</w:t>
            </w:r>
          </w:p>
        </w:tc>
      </w:tr>
    </w:tbl>
    <w:p>
      <w:pPr>
        <w:spacing w:after="0"/>
      </w:pPr>
    </w:p>
    <w:p>
      <w:pPr>
        <w:widowControl/>
      </w:pPr>
      <w:r>
        <w:rPr>
          <w:rFonts w:ascii="Arial" w:hAnsi="Arial" w:eastAsia="Hiragino Sans GB"/>
          <w:b w:val="0"/>
          <w:color w:val="000000"/>
        </w:rPr>
        <w:t>SDK非工具范围包括模型调用、运行时和通信等待；动作原语范围包括执行过程中的环境步进、观测和渲染。进一步定位需要8集深测给出的嵌套span。总账先用互斥分类闭合，再进入各类别内部。</w:t>
      </w:r>
    </w:p>
    <w:p>
      <w:pPr>
        <w:widowControl/>
      </w:pPr>
      <w:r>
        <w:rPr>
          <w:rFonts w:ascii="Arial" w:hAnsi="Arial" w:eastAsia="Hiragino Sans GB"/>
          <w:b w:val="0"/>
          <w:color w:val="000000"/>
        </w:rPr>
        <w:t>将“全部慢都归因于模型思考”会漏掉相当一部分执行时间。另一方面，VLA原语的时间也包含技能循环和环境往返，提升π内核速度的收益应按π自身占比计算。</w:t>
      </w:r>
    </w:p>
    <w:p>
      <w:pPr>
        <w:widowControl/>
      </w:pPr>
      <w:r>
        <w:rPr>
          <w:rFonts w:ascii="Arial" w:hAnsi="Arial" w:eastAsia="Hiragino Sans GB"/>
          <w:b w:val="0"/>
          <w:color w:val="000000"/>
        </w:rPr>
        <w:t>报告另外记录模型加载和运行失败尝试成本。部署阶段可通过常驻服务摊薄加载，实验分析则把加载与episode内工作量分开。</w:t>
      </w:r>
    </w:p>
    <w:p>
      <w:pPr>
        <w:pStyle w:val="Heading2"/>
      </w:pPr>
      <w:r>
        <w:t>转为 PPT 第 14 页</w:t>
      </w:r>
    </w:p>
    <w:p>
      <w:pPr>
        <w:widowControl/>
      </w:pPr>
      <w:r>
        <w:rPr>
          <w:rFonts w:ascii="Arial" w:hAnsi="Arial" w:eastAsia="Hiragino Sans GB"/>
          <w:b w:val="0"/>
          <w:color w:val="000000"/>
        </w:rPr>
        <w:t>保留五类时间的堆叠条或横向条形图，配43.27%与44.32%两个重点数。下方写“先分互斥总账，再看嵌套计算阶段”。</w:t>
      </w:r>
    </w:p>
    <w:p>
      <w:pPr>
        <w:widowControl/>
      </w:pPr>
      <w:r>
        <w:rPr>
          <w:rFonts w:ascii="Arial" w:hAnsi="Arial" w:eastAsia="Hiragino Sans GB"/>
          <w:b w:val="0"/>
          <w:color w:val="555555"/>
          <w:sz w:val="17"/>
        </w:rPr>
        <w:t>来源 L05；runtime-ledger复算〔E3〕。123408.4秒为逐集工作量之和；加载单列。</w:t>
      </w:r>
    </w:p>
    <w:p>
      <w:pPr>
        <w:pStyle w:val="Heading1"/>
        <w:pageBreakBefore/>
      </w:pPr>
      <w:r>
        <w:t>15 用同身份和共同成功配对比较效率</w:t>
      </w:r>
    </w:p>
    <w:p>
      <w:pPr>
        <w:widowControl/>
      </w:pPr>
      <w:r>
        <w:rPr>
          <w:rFonts w:ascii="Arial" w:hAnsi="Arial" w:eastAsia="Hiragino Sans GB"/>
          <w:b w:val="0"/>
          <w:color w:val="000000"/>
        </w:rPr>
        <w:t>Spatial Swap的20对任务均由两模型完成，适合观察同完成条件下的效率：Astra平均586.92秒，Sol为943.69秒，Astra耗时低37.81%。Long Swap的差异则明显受失败与长尾构成影响。〔E3〕</w:t>
      </w:r>
    </w:p>
    <w:p>
      <w:pPr>
        <w:spacing w:after="40"/>
      </w:pPr>
      <w:r>
        <w:drawing>
          <wp:inline xmlns:a="http://schemas.openxmlformats.org/drawingml/2006/main" xmlns:pic="http://schemas.openxmlformats.org/drawingml/2006/picture">
            <wp:extent cx="6309360" cy="2016393"/>
            <wp:docPr id="1" name="Picture 1" descr="同套件、同任务、同seed配对；全部身份与共同成功子集分别展示。"/>
            <wp:cNvGraphicFramePr>
              <a:graphicFrameLocks noChangeAspect="1"/>
            </wp:cNvGraphicFramePr>
            <a:graphic>
              <a:graphicData uri="http://schemas.openxmlformats.org/drawingml/2006/picture">
                <pic:pic>
                  <pic:nvPicPr>
                    <pic:cNvPr id="0" name="paired_cost.png"/>
                    <pic:cNvPicPr/>
                  </pic:nvPicPr>
                  <pic:blipFill>
                    <a:blip r:embed="rId10"/>
                    <a:stretch>
                      <a:fillRect/>
                    </a:stretch>
                  </pic:blipFill>
                  <pic:spPr>
                    <a:xfrm>
                      <a:off x="0" y="0"/>
                      <a:ext cx="6309360" cy="2016393"/>
                    </a:xfrm>
                    <a:prstGeom prst="rect"/>
                  </pic:spPr>
                </pic:pic>
              </a:graphicData>
            </a:graphic>
          </wp:inline>
        </w:drawing>
      </w:r>
    </w:p>
    <w:p>
      <w:pPr>
        <w:widowControl/>
      </w:pPr>
      <w:r>
        <w:rPr>
          <w:rFonts w:ascii="Arial" w:hAnsi="Arial" w:eastAsia="Hiragino Sans GB"/>
          <w:b w:val="0"/>
          <w:color w:val="555555"/>
          <w:sz w:val="17"/>
        </w:rPr>
        <w:t>同套件、同任务、同seed配对；全部身份与共同成功子集分别展示。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864"/>
        <w:gridCol w:w="2016"/>
        <w:gridCol w:w="2016"/>
        <w:gridCol w:w="2074"/>
      </w:tblGrid>
      <w:tr>
        <w:trPr>
          <w:cantSplit/>
          <w:tblHeader/>
        </w:trPr>
        <w:tc>
          <w:tcPr>
            <w:tcW w:type="dxa" w:w="316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配对集合</w:t>
            </w:r>
          </w:p>
        </w:tc>
        <w:tc>
          <w:tcPr>
            <w:tcW w:type="dxa" w:w="86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对数</w:t>
            </w:r>
          </w:p>
        </w:tc>
        <w:tc>
          <w:tcPr>
            <w:tcW w:type="dxa" w:w="201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Astra累计 s</w:t>
            </w:r>
          </w:p>
        </w:tc>
        <w:tc>
          <w:tcPr>
            <w:tcW w:type="dxa" w:w="201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Sol累计 s</w:t>
            </w:r>
          </w:p>
        </w:tc>
        <w:tc>
          <w:tcPr>
            <w:tcW w:type="dxa" w:w="207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Sol相对耗时</w:t>
            </w:r>
          </w:p>
        </w:tc>
      </w:tr>
      <w:tr>
        <w:trPr>
          <w:cantSplit/>
        </w:trPr>
        <w:tc>
          <w:tcPr>
            <w:tcW w:type="dxa" w:w="316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Spatial Swap 全部/共同成功</w:t>
            </w:r>
          </w:p>
        </w:tc>
        <w:tc>
          <w:tcPr>
            <w:tcW w:type="dxa" w:w="86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11738.4</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18873.7</w:t>
            </w:r>
          </w:p>
        </w:tc>
        <w:tc>
          <w:tcPr>
            <w:tcW w:type="dxa" w:w="207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+60.79%</w:t>
            </w:r>
          </w:p>
        </w:tc>
      </w:tr>
      <w:tr>
        <w:trPr>
          <w:cantSplit/>
        </w:trPr>
        <w:tc>
          <w:tcPr>
            <w:tcW w:type="dxa" w:w="316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Long Swap 全部</w:t>
            </w:r>
          </w:p>
        </w:tc>
        <w:tc>
          <w:tcPr>
            <w:tcW w:type="dxa" w:w="86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19474.4</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32601.1</w:t>
            </w:r>
          </w:p>
        </w:tc>
        <w:tc>
          <w:tcPr>
            <w:tcW w:type="dxa" w:w="207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+67.40%</w:t>
            </w:r>
          </w:p>
        </w:tc>
      </w:tr>
      <w:tr>
        <w:trPr>
          <w:cantSplit/>
        </w:trPr>
        <w:tc>
          <w:tcPr>
            <w:tcW w:type="dxa" w:w="316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Long Swap 共同成功</w:t>
            </w:r>
          </w:p>
        </w:tc>
        <w:tc>
          <w:tcPr>
            <w:tcW w:type="dxa" w:w="86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7934.2</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8470.6</w:t>
            </w:r>
          </w:p>
        </w:tc>
        <w:tc>
          <w:tcPr>
            <w:tcW w:type="dxa" w:w="207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+6.76%</w:t>
            </w:r>
          </w:p>
        </w:tc>
      </w:tr>
    </w:tbl>
    <w:p>
      <w:pPr>
        <w:spacing w:after="0"/>
      </w:pPr>
    </w:p>
    <w:p>
      <w:pPr>
        <w:widowControl/>
      </w:pPr>
      <w:r>
        <w:rPr>
          <w:rFonts w:ascii="Arial" w:hAnsi="Arial" w:eastAsia="Hiragino Sans GB"/>
          <w:b w:val="0"/>
          <w:color w:val="000000"/>
        </w:rPr>
        <w:t>报告保留全部回合的总成本，同时用共同成功子集解释完成后的效率。下一轮对照再冻结工具、记忆、服务时间块与请求条件，逐项追踪请求数、动作数及恢复时间如何构成差值。</w:t>
      </w:r>
    </w:p>
    <w:p>
      <w:pPr>
        <w:pStyle w:val="Heading2"/>
      </w:pPr>
      <w:r>
        <w:t>转为 PPT 第 15 页</w:t>
      </w:r>
    </w:p>
    <w:p>
      <w:pPr>
        <w:widowControl/>
      </w:pPr>
      <w:r>
        <w:rPr>
          <w:rFonts w:ascii="Arial" w:hAnsi="Arial" w:eastAsia="Hiragino Sans GB"/>
          <w:b w:val="0"/>
          <w:color w:val="000000"/>
        </w:rPr>
        <w:t>保留配对图和两组Long Swap对照。核心句是“成功构成改变，会显著改变平均耗时差”。Spatial Swap作为效率主证据，Long Swap进入恢复机制分析。</w:t>
      </w:r>
    </w:p>
    <w:p>
      <w:pPr>
        <w:widowControl/>
      </w:pPr>
      <w:r>
        <w:rPr>
          <w:rFonts w:ascii="Arial" w:hAnsi="Arial" w:eastAsia="Hiragino Sans GB"/>
          <w:b w:val="0"/>
          <w:color w:val="555555"/>
          <w:sz w:val="17"/>
        </w:rPr>
        <w:t>来源 L05及本次60对身份复算〔E3〕。共同成功是条件子集，与全回合结果一并报告；请求与执行路径仍可不同。</w:t>
      </w:r>
    </w:p>
    <w:p>
      <w:pPr>
        <w:pStyle w:val="Heading1"/>
        <w:pageBreakBefore/>
      </w:pPr>
      <w:r>
        <w:t>16 独立深测定位到渲染和 π 内部</w:t>
      </w:r>
    </w:p>
    <w:p>
      <w:pPr>
        <w:widowControl/>
      </w:pPr>
      <w:r>
        <w:rPr>
          <w:rFonts w:ascii="Arial" w:hAnsi="Arial" w:eastAsia="Hiragino Sans GB"/>
          <w:b w:val="0"/>
          <w:color w:val="000000"/>
        </w:rPr>
        <w:t>8集深测累计10965.30秒，其中渲染4391.18秒，占40.05%；π handler为198.65秒，占1.81%；物理step1＋step2为121.48秒，占1.11%。仿真运行中，图像生成与读回是执行侧最显著的热点。〔E3〕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800"/>
        <w:gridCol w:w="2160"/>
        <w:gridCol w:w="3874"/>
      </w:tblGrid>
      <w:tr>
        <w:trPr>
          <w:cantSplit/>
          <w:tblHeader/>
        </w:trPr>
        <w:tc>
          <w:tcPr>
            <w:tcW w:type="dxa" w:w="2304"/>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阶段</w:t>
            </w:r>
          </w:p>
        </w:tc>
        <w:tc>
          <w:tcPr>
            <w:tcW w:type="dxa" w:w="180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累计 s</w:t>
            </w:r>
          </w:p>
        </w:tc>
        <w:tc>
          <w:tcPr>
            <w:tcW w:type="dxa" w:w="216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占整集工作量</w:t>
            </w:r>
          </w:p>
        </w:tc>
        <w:tc>
          <w:tcPr>
            <w:tcW w:type="dxa" w:w="387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范围</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sim.render</w:t>
            </w:r>
          </w:p>
        </w:tc>
        <w:tc>
          <w:tcPr>
            <w:tcW w:type="dxa" w:w="18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4391.18</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40.05%</w:t>
            </w:r>
          </w:p>
        </w:tc>
        <w:tc>
          <w:tcPr>
            <w:tcW w:type="dxa" w:w="387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原语窗口内观测到的渲染</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π handler</w:t>
            </w:r>
          </w:p>
        </w:tc>
        <w:tc>
          <w:tcPr>
            <w:tcW w:type="dxa" w:w="180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198.65</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1.81%</w:t>
            </w:r>
          </w:p>
        </w:tc>
        <w:tc>
          <w:tcPr>
            <w:tcW w:type="dxa" w:w="387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371次服务处理</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其中 π prefix</w:t>
            </w:r>
          </w:p>
        </w:tc>
        <w:tc>
          <w:tcPr>
            <w:tcW w:type="dxa" w:w="18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96.19</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handler内部</w:t>
            </w:r>
          </w:p>
        </w:tc>
        <w:tc>
          <w:tcPr>
            <w:tcW w:type="dxa" w:w="387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前缀处理</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其中 π denoise core</w:t>
            </w:r>
          </w:p>
        </w:tc>
        <w:tc>
          <w:tcPr>
            <w:tcW w:type="dxa" w:w="180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86.14</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handler内部</w:t>
            </w:r>
          </w:p>
        </w:tc>
        <w:tc>
          <w:tcPr>
            <w:tcW w:type="dxa" w:w="387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去噪核心</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物理step1＋step2</w:t>
            </w:r>
          </w:p>
        </w:tc>
        <w:tc>
          <w:tcPr>
            <w:tcW w:type="dxa" w:w="18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121.48</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1.11%</w:t>
            </w:r>
          </w:p>
        </w:tc>
        <w:tc>
          <w:tcPr>
            <w:tcW w:type="dxa" w:w="387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物理步进</w:t>
            </w:r>
          </w:p>
        </w:tc>
      </w:tr>
    </w:tbl>
    <w:p>
      <w:pPr>
        <w:spacing w:after="0"/>
      </w:pPr>
    </w:p>
    <w:p>
      <w:pPr>
        <w:widowControl/>
      </w:pPr>
      <w:r>
        <w:rPr>
          <w:rFonts w:ascii="Arial" w:hAnsi="Arial" w:eastAsia="Hiragino Sans GB"/>
          <w:b w:val="0"/>
          <w:color w:val="000000"/>
        </w:rPr>
        <w:t>如果π handler耗时减半、其余工作量保持不变，整集工作量预算减少约99.33秒，即0.91%。对于仿真吞吐，渲染优化更值得优先profile；对于连续控制，π的单块延迟仍决定动作缓冲能否及时续接。两种目标对应不同的优化优先级。</w:t>
      </w:r>
    </w:p>
    <w:p>
      <w:pPr>
        <w:widowControl/>
      </w:pPr>
      <w:r>
        <w:rPr>
          <w:rFonts w:ascii="Arial" w:hAnsi="Arial" w:eastAsia="Hiragino Sans GB"/>
          <w:b w:val="0"/>
          <w:color w:val="000000"/>
        </w:rPr>
        <w:t>作为敏感性分析，扣除已测渲染后的工作量为6574.12秒；此时π handler减半对应1.51%。这使我们能区分仿真观测开销与推理本身的相对权重。</w:t>
      </w:r>
    </w:p>
    <w:p>
      <w:pPr>
        <w:widowControl/>
      </w:pPr>
      <w:r>
        <w:rPr>
          <w:rFonts w:ascii="Arial" w:hAnsi="Arial" w:eastAsia="Hiragino Sans GB"/>
          <w:b w:val="0"/>
          <w:color w:val="000000"/>
        </w:rPr>
        <w:t>计时插桩校准使用固定观测：none模式3次的中位延迟361.047ms，stages模式3次为363.719ms，增加0.74%，动作逐字节一致。</w:t>
      </w:r>
    </w:p>
    <w:p>
      <w:pPr>
        <w:pStyle w:val="Heading2"/>
      </w:pPr>
      <w:r>
        <w:t>转为 PPT 第 16 页</w:t>
      </w:r>
    </w:p>
    <w:p>
      <w:pPr>
        <w:widowControl/>
      </w:pPr>
      <w:r>
        <w:rPr>
          <w:rFonts w:ascii="Arial" w:hAnsi="Arial" w:eastAsia="Hiragino Sans GB"/>
          <w:b w:val="0"/>
          <w:color w:val="000000"/>
        </w:rPr>
        <w:t>保留渲染/π/物理三项柱图与π内部prefix、denoise表。重点区分“总吞吐热点”与“实时动作截止时间”。</w:t>
      </w:r>
    </w:p>
    <w:p>
      <w:pPr>
        <w:widowControl/>
      </w:pPr>
      <w:r>
        <w:rPr>
          <w:rFonts w:ascii="Arial" w:hAnsi="Arial" w:eastAsia="Hiragino Sans GB"/>
          <w:b w:val="0"/>
          <w:color w:val="555555"/>
          <w:sz w:val="17"/>
        </w:rPr>
        <w:t>来源 L06；8集3成功、5正常失败，371π块〔E3〕。prefix/denoise嵌套于handler；插桩校准为独立固定输入微测。</w:t>
      </w:r>
    </w:p>
    <w:p>
      <w:pPr>
        <w:pStyle w:val="Heading1"/>
        <w:pageBreakBefore/>
      </w:pPr>
      <w:r>
        <w:t>17 沿时间轴看重复抓取和恢复成本</w:t>
      </w:r>
    </w:p>
    <w:p>
      <w:pPr>
        <w:widowControl/>
      </w:pPr>
      <w:r>
        <w:rPr>
          <w:rFonts w:ascii="Arial" w:hAnsi="Arial" w:eastAsia="Hiragino Sans GB"/>
          <w:b w:val="0"/>
          <w:color w:val="000000"/>
        </w:rPr>
        <w:t>在t0/seed1的深测中，Astra用41个逻辑请求、15个π动作块完成；Sol使用77个逻辑请求、116个π块，经历8次pick后任务失败。多出来的时间不仅是一轮推理变慢，更是重复规划、抓取和恢复链条拉长。〔E3〕</w:t>
      </w:r>
    </w:p>
    <w:p>
      <w:pPr>
        <w:spacing w:after="40"/>
      </w:pPr>
      <w:r>
        <w:drawing>
          <wp:inline xmlns:a="http://schemas.openxmlformats.org/drawingml/2006/main" xmlns:pic="http://schemas.openxmlformats.org/drawingml/2006/picture">
            <wp:extent cx="6309360" cy="2009779"/>
            <wp:docPr id="2" name="Picture 2" descr="两条时间轴采用各自客户端零点；上层请求生命周期与工具区间分别成行。"/>
            <wp:cNvGraphicFramePr>
              <a:graphicFrameLocks noChangeAspect="1"/>
            </wp:cNvGraphicFramePr>
            <a:graphic>
              <a:graphicData uri="http://schemas.openxmlformats.org/drawingml/2006/picture">
                <pic:pic>
                  <pic:nvPicPr>
                    <pic:cNvPr id="0" name="rpent_timeline.png"/>
                    <pic:cNvPicPr/>
                  </pic:nvPicPr>
                  <pic:blipFill>
                    <a:blip r:embed="rId11"/>
                    <a:stretch>
                      <a:fillRect/>
                    </a:stretch>
                  </pic:blipFill>
                  <pic:spPr>
                    <a:xfrm>
                      <a:off x="0" y="0"/>
                      <a:ext cx="6309360" cy="2009779"/>
                    </a:xfrm>
                    <a:prstGeom prst="rect"/>
                  </pic:spPr>
                </pic:pic>
              </a:graphicData>
            </a:graphic>
          </wp:inline>
        </w:drawing>
      </w:r>
    </w:p>
    <w:p>
      <w:pPr>
        <w:widowControl/>
      </w:pPr>
      <w:r>
        <w:rPr>
          <w:rFonts w:ascii="Arial" w:hAnsi="Arial" w:eastAsia="Hiragino Sans GB"/>
          <w:b w:val="0"/>
          <w:color w:val="555555"/>
          <w:sz w:val="17"/>
        </w:rPr>
        <w:t>两条时间轴采用各自客户端零点；上层请求生命周期与工具区间分别成行。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56"/>
        <w:gridCol w:w="1872"/>
        <w:gridCol w:w="1440"/>
        <w:gridCol w:w="3082"/>
      </w:tblGrid>
      <w:tr>
        <w:trPr>
          <w:cantSplit/>
          <w:tblHeader/>
        </w:trPr>
        <w:tc>
          <w:tcPr>
            <w:tcW w:type="dxa" w:w="208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t0 seed1</w:t>
            </w:r>
          </w:p>
        </w:tc>
        <w:tc>
          <w:tcPr>
            <w:tcW w:type="dxa" w:w="16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回合 s</w:t>
            </w:r>
          </w:p>
        </w:tc>
        <w:tc>
          <w:tcPr>
            <w:tcW w:type="dxa" w:w="187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逻辑/尝试</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π块</w:t>
            </w:r>
          </w:p>
        </w:tc>
        <w:tc>
          <w:tcPr>
            <w:tcW w:type="dxa" w:w="308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SDK非工具 s</w:t>
            </w:r>
          </w:p>
        </w:tc>
      </w:tr>
      <w:tr>
        <w:trPr>
          <w:cantSplit/>
        </w:trPr>
        <w:tc>
          <w:tcPr>
            <w:tcW w:type="dxa" w:w="208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Astra 成功</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1049.1</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41 / 42</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w:t>
            </w:r>
          </w:p>
        </w:tc>
        <w:tc>
          <w:tcPr>
            <w:tcW w:type="dxa" w:w="308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415.09</w:t>
            </w:r>
          </w:p>
        </w:tc>
      </w:tr>
      <w:tr>
        <w:trPr>
          <w:cantSplit/>
        </w:trPr>
        <w:tc>
          <w:tcPr>
            <w:tcW w:type="dxa" w:w="208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Sol 失败</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2176.5</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77 / 83</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116</w:t>
            </w:r>
          </w:p>
        </w:tc>
        <w:tc>
          <w:tcPr>
            <w:tcW w:type="dxa" w:w="308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1009.62</w:t>
            </w:r>
          </w:p>
        </w:tc>
      </w:tr>
    </w:tbl>
    <w:p>
      <w:pPr>
        <w:spacing w:after="0"/>
      </w:pPr>
    </w:p>
    <w:p>
      <w:pPr>
        <w:widowControl/>
      </w:pPr>
      <w:r>
        <w:rPr>
          <w:rFonts w:ascii="Arial" w:hAnsi="Arial" w:eastAsia="Hiragino Sans GB"/>
          <w:b w:val="0"/>
          <w:color w:val="000000"/>
        </w:rPr>
        <w:t>Sol第18–34段恢复动作累计执行562.94秒，其中渲染447.54秒，非渲染115.40秒。减少重复动作既降低模型调用，也减少环境执行和渲染，因而技能验收与恢复策略具有跨阶段收益。</w:t>
      </w:r>
    </w:p>
    <w:p>
      <w:pPr>
        <w:widowControl/>
      </w:pPr>
      <w:r>
        <w:rPr>
          <w:rFonts w:ascii="Arial" w:hAnsi="Arial" w:eastAsia="Hiragino Sans GB"/>
          <w:b w:val="0"/>
          <w:color w:val="000000"/>
        </w:rPr>
        <w:t>t9继续按抓杯、送入、释放撤手、关门拆分，记录每阶段是否取得预期效果。下一轮先收集失败发生在哪一段，再选择局部恢复或高层重规划。</w:t>
      </w:r>
    </w:p>
    <w:p>
      <w:pPr>
        <w:pStyle w:val="Heading2"/>
      </w:pPr>
      <w:r>
        <w:t>转为 PPT 第 17 页</w:t>
      </w:r>
    </w:p>
    <w:p>
      <w:pPr>
        <w:widowControl/>
      </w:pPr>
      <w:r>
        <w:rPr>
          <w:rFonts w:ascii="Arial" w:hAnsi="Arial" w:eastAsia="Hiragino Sans GB"/>
          <w:b w:val="0"/>
          <w:color w:val="000000"/>
        </w:rPr>
        <w:t>保留双模型客户端时间轴、41/77请求与15/116π块，并标注一段恢复区间。用这页解释“单次耗时×轮次”中的轮次如何膨胀。</w:t>
      </w:r>
    </w:p>
    <w:p>
      <w:pPr>
        <w:widowControl/>
      </w:pPr>
      <w:r>
        <w:rPr>
          <w:rFonts w:ascii="Arial" w:hAnsi="Arial" w:eastAsia="Hiragino Sans GB"/>
          <w:b w:val="0"/>
          <w:color w:val="555555"/>
          <w:sz w:val="17"/>
        </w:rPr>
        <w:t>来源 L06；timeline_v2与恢复段复算〔E3〕。请求生命周期可跨工具区间；图中各lane不相加，跨进程时钟分开。</w:t>
      </w:r>
    </w:p>
    <w:p>
      <w:pPr>
        <w:pStyle w:val="Heading1"/>
        <w:pageBreakBefore/>
      </w:pPr>
      <w:r>
        <w:t>18 DeepSeek 关思考结果与轨迹轮次一起看</w:t>
      </w:r>
    </w:p>
    <w:p>
      <w:pPr>
        <w:widowControl/>
      </w:pPr>
      <w:r>
        <w:rPr>
          <w:rFonts w:ascii="Arial" w:hAnsi="Arial" w:eastAsia="Hiragino Sans GB"/>
          <w:b w:val="0"/>
          <w:color w:val="000000"/>
        </w:rPr>
        <w:t>DeepSeek两批开关思考实验呈现了不同的闭环结果。流式批次的共同成功t0两身份，none合计比medium快20.57%；早期非流式的相同两身份，none合计反而多耗时11.92%。轮次变化解释了重要一部分差异。〔E3〕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656"/>
        <w:gridCol w:w="1656"/>
        <w:gridCol w:w="2232"/>
        <w:gridCol w:w="2362"/>
      </w:tblGrid>
      <w:tr>
        <w:trPr>
          <w:cantSplit/>
          <w:tblHeader/>
        </w:trPr>
        <w:tc>
          <w:tcPr>
            <w:tcW w:type="dxa" w:w="223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批次与身份</w:t>
            </w:r>
          </w:p>
        </w:tc>
        <w:tc>
          <w:tcPr>
            <w:tcW w:type="dxa" w:w="16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medium s</w:t>
            </w:r>
          </w:p>
        </w:tc>
        <w:tc>
          <w:tcPr>
            <w:tcW w:type="dxa" w:w="16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none s</w:t>
            </w:r>
          </w:p>
        </w:tc>
        <w:tc>
          <w:tcPr>
            <w:tcW w:type="dxa" w:w="223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逻辑请求变化</w:t>
            </w:r>
          </w:p>
        </w:tc>
        <w:tc>
          <w:tcPr>
            <w:tcW w:type="dxa" w:w="236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none时间变化</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非流式 t0/s0</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1000.9</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1432.6</w:t>
            </w:r>
          </w:p>
        </w:tc>
        <w:tc>
          <w:tcPr>
            <w:tcW w:type="dxa" w:w="223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 → 46</w:t>
            </w:r>
          </w:p>
        </w:tc>
        <w:tc>
          <w:tcPr>
            <w:tcW w:type="dxa" w:w="236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+43.13%</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非流式 t0/s1</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966.8</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769.7</w:t>
            </w:r>
          </w:p>
        </w:tc>
        <w:tc>
          <w:tcPr>
            <w:tcW w:type="dxa" w:w="223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27 → 26</w:t>
            </w:r>
          </w:p>
        </w:tc>
        <w:tc>
          <w:tcPr>
            <w:tcW w:type="dxa" w:w="236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−20.39%</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流式 t0/s0</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1497.8</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1043.1</w:t>
            </w:r>
          </w:p>
        </w:tc>
        <w:tc>
          <w:tcPr>
            <w:tcW w:type="dxa" w:w="223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 → 31</w:t>
            </w:r>
          </w:p>
        </w:tc>
        <w:tc>
          <w:tcPr>
            <w:tcW w:type="dxa" w:w="236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−30.36%</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流式 t0/s1</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828.9</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805.1</w:t>
            </w:r>
          </w:p>
        </w:tc>
        <w:tc>
          <w:tcPr>
            <w:tcW w:type="dxa" w:w="223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 → 26</w:t>
            </w:r>
          </w:p>
        </w:tc>
        <w:tc>
          <w:tcPr>
            <w:tcW w:type="dxa" w:w="236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−2.87%</w:t>
            </w:r>
          </w:p>
        </w:tc>
      </w:tr>
    </w:tbl>
    <w:p>
      <w:pPr>
        <w:spacing w:after="0"/>
      </w:pPr>
    </w:p>
    <w:p>
      <w:pPr>
        <w:widowControl/>
      </w:pPr>
      <w:r>
        <w:rPr>
          <w:rFonts w:ascii="Arial" w:hAnsi="Arial" w:eastAsia="Hiragino Sans GB"/>
          <w:b w:val="0"/>
          <w:color w:val="000000"/>
        </w:rPr>
        <w:t>非流式t0/s0关闭思考后，调用从26增至46，工具调用从46增至102；即使单次请求更短，整条执行路径也可能更长。流式t0/s0的请求数由37降到31，单次等待和调用次数共同帮助缩短回合。</w:t>
      </w:r>
    </w:p>
    <w:p>
      <w:pPr>
        <w:widowControl/>
      </w:pPr>
      <w:r>
        <w:rPr>
          <w:rFonts w:ascii="Arial" w:hAnsi="Arial" w:eastAsia="Hiragino Sans GB"/>
          <w:b w:val="0"/>
          <w:color w:val="000000"/>
        </w:rPr>
        <w:t>我们因此把low/none作为计算预算实验：先固定请求体比较单次延迟，再固定任务初态观察动作、调用与恢复变化。两个层次合起来，才能选出适合任务阶段的思考档位。</w:t>
      </w:r>
    </w:p>
    <w:p>
      <w:pPr>
        <w:widowControl/>
      </w:pPr>
      <w:r>
        <w:rPr>
          <w:rFonts w:ascii="Arial" w:hAnsi="Arial" w:eastAsia="Hiragino Sans GB"/>
          <w:b w:val="0"/>
          <w:color w:val="000000"/>
        </w:rPr>
        <w:t>两批各档的t0均记录2次成功，t9的退出方式另列。后续成功判据统一使用环境终态，过程日志继续保留recipe、finish与退出状态。</w:t>
      </w:r>
    </w:p>
    <w:p>
      <w:pPr>
        <w:pStyle w:val="Heading2"/>
      </w:pPr>
      <w:r>
        <w:t>转为 PPT 第 18 页</w:t>
      </w:r>
    </w:p>
    <w:p>
      <w:pPr>
        <w:widowControl/>
      </w:pPr>
      <w:r>
        <w:rPr>
          <w:rFonts w:ascii="Arial" w:hAnsi="Arial" w:eastAsia="Hiragino Sans GB"/>
          <w:b w:val="0"/>
          <w:color w:val="000000"/>
        </w:rPr>
        <w:t>保留四行配对表，给请求数变化配箭头。重点句为“关思考是否更快，要看单次等待和轨迹轮次同时怎么变”。</w:t>
      </w:r>
    </w:p>
    <w:p>
      <w:pPr>
        <w:widowControl/>
      </w:pPr>
      <w:r>
        <w:rPr>
          <w:rFonts w:ascii="Arial" w:hAnsi="Arial" w:eastAsia="Hiragino Sans GB"/>
          <w:b w:val="0"/>
          <w:color w:val="555555"/>
          <w:sz w:val="17"/>
        </w:rPr>
        <w:t>来源 L07；成功采用当批recipe/finish记录〔E3〕。工具/system内容hash随运行变化，下一批固定内容与缓存条件。</w:t>
      </w:r>
    </w:p>
    <w:p>
      <w:pPr>
        <w:pStyle w:val="Heading1"/>
        <w:pageBreakBefore/>
      </w:pPr>
      <w:r>
        <w:t>19 DeepSeek 的请求分布和首输出等待</w:t>
      </w:r>
    </w:p>
    <w:p>
      <w:pPr>
        <w:widowControl/>
      </w:pPr>
      <w:r>
        <w:rPr>
          <w:rFonts w:ascii="Arial" w:hAnsi="Arial" w:eastAsia="Hiragino Sans GB"/>
          <w:b w:val="0"/>
          <w:color w:val="000000"/>
        </w:rPr>
        <w:t>流式共同成功四集共有120个逻辑请求、121次attempt。累计请求时间1954.25秒，其中有效TTFT累计1384.00秒，占70.82%。这组数据的主要等待发生在首输出之前。〔E3〕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936"/>
        <w:gridCol w:w="2808"/>
        <w:gridCol w:w="2664"/>
        <w:gridCol w:w="2650"/>
      </w:tblGrid>
      <w:tr>
        <w:trPr>
          <w:cantSplit/>
          <w:tblHeader/>
        </w:trPr>
        <w:tc>
          <w:tcPr>
            <w:tcW w:type="dxa" w:w="108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档位</w:t>
            </w:r>
          </w:p>
        </w:tc>
        <w:tc>
          <w:tcPr>
            <w:tcW w:type="dxa" w:w="93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attempt</w:t>
            </w:r>
          </w:p>
        </w:tc>
        <w:tc>
          <w:tcPr>
            <w:tcW w:type="dxa" w:w="280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完整请求 p50/p95 s</w:t>
            </w:r>
          </w:p>
        </w:tc>
        <w:tc>
          <w:tcPr>
            <w:tcW w:type="dxa" w:w="266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TTFT p50/p95 s</w:t>
            </w:r>
          </w:p>
        </w:tc>
        <w:tc>
          <w:tcPr>
            <w:tcW w:type="dxa" w:w="265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TPOT p50/p95 ms</w:t>
            </w:r>
          </w:p>
        </w:tc>
      </w:tr>
      <w:tr>
        <w:trPr>
          <w:cantSplit/>
        </w:trPr>
        <w:tc>
          <w:tcPr>
            <w:tcW w:type="dxa" w:w="10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medium</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64</w:t>
            </w:r>
          </w:p>
        </w:tc>
        <w:tc>
          <w:tcPr>
            <w:tcW w:type="dxa" w:w="28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17.371 / 40.855</w:t>
            </w:r>
          </w:p>
        </w:tc>
        <w:tc>
          <w:tcPr>
            <w:tcW w:type="dxa" w:w="266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11.891 / 21.359</w:t>
            </w:r>
          </w:p>
        </w:tc>
        <w:tc>
          <w:tcPr>
            <w:tcW w:type="dxa" w:w="265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5.667 / 14.171</w:t>
            </w:r>
          </w:p>
        </w:tc>
      </w:tr>
      <w:tr>
        <w:trPr>
          <w:cantSplit/>
        </w:trPr>
        <w:tc>
          <w:tcPr>
            <w:tcW w:type="dxa" w:w="108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none</w:t>
            </w:r>
          </w:p>
        </w:tc>
        <w:tc>
          <w:tcPr>
            <w:tcW w:type="dxa" w:w="9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57</w:t>
            </w:r>
          </w:p>
        </w:tc>
        <w:tc>
          <w:tcPr>
            <w:tcW w:type="dxa" w:w="28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12.272 / 21.290</w:t>
            </w:r>
          </w:p>
        </w:tc>
        <w:tc>
          <w:tcPr>
            <w:tcW w:type="dxa" w:w="266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10.595 / 16.893</w:t>
            </w:r>
          </w:p>
        </w:tc>
        <w:tc>
          <w:tcPr>
            <w:tcW w:type="dxa" w:w="265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4.374 / 7.105</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8"/>
        <w:gridCol w:w="2520"/>
        <w:gridCol w:w="2520"/>
      </w:tblGrid>
      <w:tr>
        <w:trPr>
          <w:cantSplit/>
          <w:tblHeader/>
        </w:trPr>
        <w:tc>
          <w:tcPr>
            <w:tcW w:type="dxa" w:w="509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累计阶段 s</w:t>
            </w:r>
          </w:p>
        </w:tc>
        <w:tc>
          <w:tcPr>
            <w:tcW w:type="dxa" w:w="252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medium</w:t>
            </w:r>
          </w:p>
        </w:tc>
        <w:tc>
          <w:tcPr>
            <w:tcW w:type="dxa" w:w="252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none</w:t>
            </w:r>
          </w:p>
        </w:tc>
      </w:tr>
      <w:tr>
        <w:trPr>
          <w:cantSplit/>
        </w:trPr>
        <w:tc>
          <w:tcPr>
            <w:tcW w:type="dxa" w:w="509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完整请求</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1238.435</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715.819</w:t>
            </w:r>
          </w:p>
        </w:tc>
      </w:tr>
      <w:tr>
        <w:trPr>
          <w:cantSplit/>
        </w:trPr>
        <w:tc>
          <w:tcPr>
            <w:tcW w:type="dxa" w:w="509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TTFT</w:t>
            </w:r>
          </w:p>
        </w:tc>
        <w:tc>
          <w:tcPr>
            <w:tcW w:type="dxa" w:w="25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776.094</w:t>
            </w:r>
          </w:p>
        </w:tc>
        <w:tc>
          <w:tcPr>
            <w:tcW w:type="dxa" w:w="25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607.904</w:t>
            </w:r>
          </w:p>
        </w:tc>
      </w:tr>
      <w:tr>
        <w:trPr>
          <w:cantSplit/>
        </w:trPr>
        <w:tc>
          <w:tcPr>
            <w:tcW w:type="dxa" w:w="509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可见thinking窗口</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376.252</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0.000</w:t>
            </w:r>
          </w:p>
        </w:tc>
      </w:tr>
      <w:tr>
        <w:trPr>
          <w:cantSplit/>
        </w:trPr>
        <w:tc>
          <w:tcPr>
            <w:tcW w:type="dxa" w:w="509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正文/工具可见窗口</w:t>
            </w:r>
          </w:p>
        </w:tc>
        <w:tc>
          <w:tcPr>
            <w:tcW w:type="dxa" w:w="25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73.677</w:t>
            </w:r>
          </w:p>
        </w:tc>
        <w:tc>
          <w:tcPr>
            <w:tcW w:type="dxa" w:w="25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107.915</w:t>
            </w:r>
          </w:p>
        </w:tc>
      </w:tr>
      <w:tr>
        <w:trPr>
          <w:cantSplit/>
        </w:trPr>
        <w:tc>
          <w:tcPr>
            <w:tcW w:type="dxa" w:w="509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失败attempt</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12.412</w:t>
            </w:r>
          </w:p>
        </w:tc>
        <w:tc>
          <w:tcPr>
            <w:tcW w:type="dxa" w:w="25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0.000</w:t>
            </w:r>
          </w:p>
        </w:tc>
      </w:tr>
    </w:tbl>
    <w:p>
      <w:pPr>
        <w:spacing w:after="0"/>
      </w:pPr>
    </w:p>
    <w:p>
      <w:pPr>
        <w:widowControl/>
      </w:pPr>
      <w:r>
        <w:rPr>
          <w:rFonts w:ascii="Arial" w:hAnsi="Arial" w:eastAsia="Hiragino Sans GB"/>
          <w:b w:val="0"/>
          <w:color w:val="000000"/>
        </w:rPr>
        <w:t>medium的可见thinking窗口为376.252秒；按Token占比分配的估算值则为352.550秒。报告主表使用事件窗口，估算列留在数据附录，读者能直接区分两种测量方式。</w:t>
      </w:r>
    </w:p>
    <w:p>
      <w:pPr>
        <w:widowControl/>
      </w:pPr>
      <w:r>
        <w:rPr>
          <w:rFonts w:ascii="Arial" w:hAnsi="Arial" w:eastAsia="Hiragino Sans GB"/>
          <w:b w:val="0"/>
          <w:color w:val="000000"/>
        </w:rPr>
        <w:t>none仍有607.904秒首输出等待，因此后续还需检查图像准备、上下文传输、缓存命中和服务排队。生成侧则记录输出长度，比较完成同一工具调用需要多少Token。</w:t>
      </w:r>
    </w:p>
    <w:p>
      <w:pPr>
        <w:pStyle w:val="Heading2"/>
      </w:pPr>
      <w:r>
        <w:t>转为 PPT 第 19 页</w:t>
      </w:r>
    </w:p>
    <w:p>
      <w:pPr>
        <w:widowControl/>
      </w:pPr>
      <w:r>
        <w:rPr>
          <w:rFonts w:ascii="Arial" w:hAnsi="Arial" w:eastAsia="Hiragino Sans GB"/>
          <w:b w:val="0"/>
          <w:color w:val="000000"/>
        </w:rPr>
        <w:t>保留两档p50/p95表和累计阶段条。重点数为70.82%首输出等待；将“实测事件窗口”与“Token分配估算”作为小表注。</w:t>
      </w:r>
    </w:p>
    <w:p>
      <w:pPr>
        <w:widowControl/>
      </w:pPr>
      <w:r>
        <w:rPr>
          <w:rFonts w:ascii="Arial" w:hAnsi="Arial" w:eastAsia="Hiragino Sans GB"/>
          <w:b w:val="0"/>
          <w:color w:val="555555"/>
          <w:sz w:val="17"/>
        </w:rPr>
        <w:t>来源 L07及本次复算〔E3〕。medium为64attempt/63有效TTFT，none为57/57；TPOT为请求均值代理，非delta间隔分位数。</w:t>
      </w:r>
    </w:p>
    <w:p>
      <w:pPr>
        <w:pStyle w:val="Heading1"/>
        <w:pageBreakBefore/>
      </w:pPr>
      <w:r>
        <w:t>20 DeepSeek 单局长尾分别来自 thinking 和输出</w:t>
      </w:r>
    </w:p>
    <w:p>
      <w:pPr>
        <w:widowControl/>
      </w:pPr>
      <w:r>
        <w:rPr>
          <w:rFonts w:ascii="Arial" w:hAnsi="Arial" w:eastAsia="Hiragino Sans GB"/>
          <w:b w:val="0"/>
          <w:color w:val="000000"/>
        </w:rPr>
        <w:t>v5单局15次请求累计93.592秒，TTFT为27.256秒，可见thinking为47.144秒，正文/工具窗口为19.192秒。瓶颈在这组单局中转到首输出之后，逐轮展开能进一步看出是哪类输出在拉长请求。〔E3〕</w:t>
      </w:r>
    </w:p>
    <w:p>
      <w:pPr>
        <w:spacing w:after="40"/>
      </w:pPr>
      <w:r>
        <w:drawing>
          <wp:inline xmlns:a="http://schemas.openxmlformats.org/drawingml/2006/main" xmlns:pic="http://schemas.openxmlformats.org/drawingml/2006/picture">
            <wp:extent cx="6309360" cy="2165636"/>
            <wp:docPr id="3" name="Picture 3" descr="v5全部15请求；使用同局后续审计的客户端事件窗口，单位秒。"/>
            <wp:cNvGraphicFramePr>
              <a:graphicFrameLocks noChangeAspect="1"/>
            </wp:cNvGraphicFramePr>
            <a:graphic>
              <a:graphicData uri="http://schemas.openxmlformats.org/drawingml/2006/picture">
                <pic:pic>
                  <pic:nvPicPr>
                    <pic:cNvPr id="0" name="v5_requests.png"/>
                    <pic:cNvPicPr/>
                  </pic:nvPicPr>
                  <pic:blipFill>
                    <a:blip r:embed="rId12"/>
                    <a:stretch>
                      <a:fillRect/>
                    </a:stretch>
                  </pic:blipFill>
                  <pic:spPr>
                    <a:xfrm>
                      <a:off x="0" y="0"/>
                      <a:ext cx="6309360" cy="2165636"/>
                    </a:xfrm>
                    <a:prstGeom prst="rect"/>
                  </pic:spPr>
                </pic:pic>
              </a:graphicData>
            </a:graphic>
          </wp:inline>
        </w:drawing>
      </w:r>
    </w:p>
    <w:p>
      <w:pPr>
        <w:widowControl/>
      </w:pPr>
      <w:r>
        <w:rPr>
          <w:rFonts w:ascii="Arial" w:hAnsi="Arial" w:eastAsia="Hiragino Sans GB"/>
          <w:b w:val="0"/>
          <w:color w:val="555555"/>
          <w:sz w:val="17"/>
        </w:rPr>
        <w:t>v5全部15请求；使用同局后续审计的客户端事件窗口，单位秒。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944"/>
        <w:gridCol w:w="1944"/>
        <w:gridCol w:w="2088"/>
        <w:gridCol w:w="2218"/>
      </w:tblGrid>
      <w:tr>
        <w:trPr>
          <w:cantSplit/>
          <w:tblHeader/>
        </w:trPr>
        <w:tc>
          <w:tcPr>
            <w:tcW w:type="dxa" w:w="1944"/>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代表请求</w:t>
            </w:r>
          </w:p>
        </w:tc>
        <w:tc>
          <w:tcPr>
            <w:tcW w:type="dxa" w:w="194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完整 s</w:t>
            </w:r>
          </w:p>
        </w:tc>
        <w:tc>
          <w:tcPr>
            <w:tcW w:type="dxa" w:w="194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TTFT s</w:t>
            </w:r>
          </w:p>
        </w:tc>
        <w:tc>
          <w:tcPr>
            <w:tcW w:type="dxa" w:w="208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thinking s</w:t>
            </w:r>
          </w:p>
        </w:tc>
        <w:tc>
          <w:tcPr>
            <w:tcW w:type="dxa" w:w="221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正文/工具 s</w:t>
            </w:r>
          </w:p>
        </w:tc>
      </w:tr>
      <w:tr>
        <w:trPr>
          <w:cantSplit/>
        </w:trPr>
        <w:tc>
          <w:tcPr>
            <w:tcW w:type="dxa" w:w="194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第11次</w:t>
            </w:r>
          </w:p>
        </w:tc>
        <w:tc>
          <w:tcPr>
            <w:tcW w:type="dxa" w:w="19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24.546</w:t>
            </w:r>
          </w:p>
        </w:tc>
        <w:tc>
          <w:tcPr>
            <w:tcW w:type="dxa" w:w="194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3.731</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19.959</w:t>
            </w:r>
          </w:p>
        </w:tc>
        <w:tc>
          <w:tcPr>
            <w:tcW w:type="dxa" w:w="221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0.856</w:t>
            </w:r>
          </w:p>
        </w:tc>
      </w:tr>
      <w:tr>
        <w:trPr>
          <w:cantSplit/>
        </w:trPr>
        <w:tc>
          <w:tcPr>
            <w:tcW w:type="dxa" w:w="194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第14次</w:t>
            </w:r>
          </w:p>
        </w:tc>
        <w:tc>
          <w:tcPr>
            <w:tcW w:type="dxa" w:w="194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16.514</w:t>
            </w:r>
          </w:p>
        </w:tc>
        <w:tc>
          <w:tcPr>
            <w:tcW w:type="dxa" w:w="194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3.886</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3.689</w:t>
            </w:r>
          </w:p>
        </w:tc>
        <w:tc>
          <w:tcPr>
            <w:tcW w:type="dxa" w:w="221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8.939</w:t>
            </w:r>
          </w:p>
        </w:tc>
      </w:tr>
    </w:tbl>
    <w:p>
      <w:pPr>
        <w:spacing w:after="0"/>
      </w:pPr>
    </w:p>
    <w:p>
      <w:pPr>
        <w:widowControl/>
      </w:pPr>
      <w:r>
        <w:rPr>
          <w:rFonts w:ascii="Arial" w:hAnsi="Arial" w:eastAsia="Hiragino Sans GB"/>
          <w:b w:val="0"/>
          <w:color w:val="000000"/>
        </w:rPr>
        <w:t>第11次产生4491个reasoning Token，是思考长尾；第14次产生2687个其他输出Token，主要成本在收尾写记录。优化可以分别作用于思考预算和输出协议，将非决策记录移出动作关键路径。</w:t>
      </w:r>
    </w:p>
    <w:p>
      <w:pPr>
        <w:widowControl/>
      </w:pPr>
      <w:r>
        <w:rPr>
          <w:rFonts w:ascii="Arial" w:hAnsi="Arial" w:eastAsia="Hiragino Sans GB"/>
          <w:b w:val="0"/>
          <w:color w:val="000000"/>
        </w:rPr>
        <w:t>另一单局ds_t2_par同为15请求，但累计110.534秒，首输出后88.795秒，占80.33%。它与v5分别呈现，让不同运行的瓶颈位置保持清楚。</w:t>
      </w:r>
    </w:p>
    <w:p>
      <w:pPr>
        <w:pStyle w:val="Heading2"/>
      </w:pPr>
      <w:r>
        <w:t>转为 PPT 第 20 页</w:t>
      </w:r>
    </w:p>
    <w:p>
      <w:pPr>
        <w:widowControl/>
      </w:pPr>
      <w:r>
        <w:rPr>
          <w:rFonts w:ascii="Arial" w:hAnsi="Arial" w:eastAsia="Hiragino Sans GB"/>
          <w:b w:val="0"/>
          <w:color w:val="000000"/>
        </w:rPr>
        <w:t>保留15请求堆叠图，并放大第11、14次两行。核心句为“长尾既可能来自思考，也可能来自工具和记录输出”。</w:t>
      </w:r>
    </w:p>
    <w:p>
      <w:pPr>
        <w:widowControl/>
      </w:pPr>
      <w:r>
        <w:rPr>
          <w:rFonts w:ascii="Arial" w:hAnsi="Arial" w:eastAsia="Hiragino Sans GB"/>
          <w:b w:val="0"/>
          <w:color w:val="555555"/>
          <w:sz w:val="17"/>
        </w:rPr>
        <w:t>来源 L07、L08；v5回合182.5秒，ds_t2_par回合205.3秒〔E3〕。15请求含读取/初始化/收尾，并非15次机器人动作。</w:t>
      </w:r>
    </w:p>
    <w:p>
      <w:pPr>
        <w:pStyle w:val="Heading1"/>
        <w:pageBreakBefore/>
      </w:pPr>
      <w:r>
        <w:t>21 输入上下文和 Files API 的成本</w:t>
      </w:r>
    </w:p>
    <w:p>
      <w:pPr>
        <w:widowControl/>
      </w:pPr>
      <w:r>
        <w:rPr>
          <w:rFonts w:ascii="Arial" w:hAnsi="Arial" w:eastAsia="Hiragino Sans GB"/>
          <w:b w:val="0"/>
          <w:color w:val="000000"/>
        </w:rPr>
        <w:t>输入优化应同时记录请求字节、输入Token和缓存。v5的图像处理把平均载荷从3136.1KB降到185.7KB，末轮由10118KB降到280KB；与此同时，上下文从13094增长到84686 Token。传输与模型输入是两项不同的成本。〔E3〕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600"/>
        <w:gridCol w:w="3658"/>
      </w:tblGrid>
      <w:tr>
        <w:trPr>
          <w:cantSplit/>
          <w:tblHeader/>
        </w:trPr>
        <w:tc>
          <w:tcPr>
            <w:tcW w:type="dxa" w:w="288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指标</w:t>
            </w:r>
          </w:p>
        </w:tc>
        <w:tc>
          <w:tcPr>
            <w:tcW w:type="dxa" w:w="360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v5同一单局</w:t>
            </w:r>
          </w:p>
        </w:tc>
        <w:tc>
          <w:tcPr>
            <w:tcW w:type="dxa" w:w="365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解释</w:t>
            </w:r>
          </w:p>
        </w:tc>
      </w:tr>
      <w:tr>
        <w:trPr>
          <w:cantSplit/>
        </w:trPr>
        <w:tc>
          <w:tcPr>
            <w:tcW w:type="dxa" w:w="28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平均转换前/后载荷</w:t>
            </w:r>
          </w:p>
        </w:tc>
        <w:tc>
          <w:tcPr>
            <w:tcW w:type="dxa" w:w="36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3136.1 / 185.7 KB</w:t>
            </w:r>
          </w:p>
        </w:tc>
        <w:tc>
          <w:tcPr>
            <w:tcW w:type="dxa" w:w="36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同一请求转换过程的字节缩减</w:t>
            </w:r>
          </w:p>
        </w:tc>
      </w:tr>
      <w:tr>
        <w:trPr>
          <w:cantSplit/>
        </w:trPr>
        <w:tc>
          <w:tcPr>
            <w:tcW w:type="dxa" w:w="288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累计input / cached</w:t>
            </w:r>
          </w:p>
        </w:tc>
        <w:tc>
          <w:tcPr>
            <w:tcW w:type="dxa" w:w="360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780723 / 720256 Token</w:t>
            </w:r>
          </w:p>
        </w:tc>
        <w:tc>
          <w:tcPr>
            <w:tcW w:type="dxa" w:w="365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按总量计算缓存比例92.25%</w:t>
            </w:r>
          </w:p>
        </w:tc>
      </w:tr>
      <w:tr>
        <w:trPr>
          <w:cantSplit/>
        </w:trPr>
        <w:tc>
          <w:tcPr>
            <w:tcW w:type="dxa" w:w="28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累计output / reasoning</w:t>
            </w:r>
          </w:p>
        </w:tc>
        <w:tc>
          <w:tcPr>
            <w:tcW w:type="dxa" w:w="36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17432 / 10941 Token</w:t>
            </w:r>
          </w:p>
        </w:tc>
        <w:tc>
          <w:tcPr>
            <w:tcW w:type="dxa" w:w="36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reasoning已包含在output中</w:t>
            </w:r>
          </w:p>
        </w:tc>
      </w:tr>
      <w:tr>
        <w:trPr>
          <w:cantSplit/>
        </w:trPr>
        <w:tc>
          <w:tcPr>
            <w:tcW w:type="dxa" w:w="288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请求均值 / p50</w:t>
            </w:r>
          </w:p>
        </w:tc>
        <w:tc>
          <w:tcPr>
            <w:tcW w:type="dxa" w:w="360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6.239 / 3.548 s</w:t>
            </w:r>
          </w:p>
        </w:tc>
        <w:tc>
          <w:tcPr>
            <w:tcW w:type="dxa" w:w="365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少数长请求显著拉高均值</w:t>
            </w:r>
          </w:p>
        </w:tc>
      </w:tr>
      <w:tr>
        <w:trPr>
          <w:cantSplit/>
        </w:trPr>
        <w:tc>
          <w:tcPr>
            <w:tcW w:type="dxa" w:w="28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TPOT p50</w:t>
            </w:r>
          </w:p>
        </w:tc>
        <w:tc>
          <w:tcPr>
            <w:tcW w:type="dxa" w:w="36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3.621 ms/token</w:t>
            </w:r>
          </w:p>
        </w:tc>
        <w:tc>
          <w:tcPr>
            <w:tcW w:type="dxa" w:w="36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后续审计的请求均值代理</w:t>
            </w:r>
          </w:p>
        </w:tc>
      </w:tr>
    </w:tbl>
    <w:p>
      <w:pPr>
        <w:spacing w:after="0"/>
      </w:pPr>
    </w:p>
    <w:p>
      <w:pPr>
        <w:widowControl/>
      </w:pPr>
      <w:r>
        <w:rPr>
          <w:rFonts w:ascii="Arial" w:hAnsi="Arial" w:eastAsia="Hiragino Sans GB"/>
          <w:b w:val="0"/>
          <w:color w:val="000000"/>
        </w:rPr>
        <w:t>Files API另一独立单局为11次请求、153.1秒。按逐轮表复算，请求合计100.5秒、均值9.136秒；TTFT合计57.762秒、均值5.251秒。其thinking和decode采用Token×速度估算，正文保留这项定义。</w:t>
      </w:r>
    </w:p>
    <w:p>
      <w:pPr>
        <w:widowControl/>
      </w:pPr>
      <w:r>
        <w:rPr>
          <w:rFonts w:ascii="Arial" w:hAnsi="Arial" w:eastAsia="Hiragino Sans GB"/>
          <w:b w:val="0"/>
          <w:color w:val="000000"/>
        </w:rPr>
        <w:t>下一步输入A/B固定任务状态、图像信息、提示和输出Schema，只改变传输形式或历史表示；分别记录处理成本、请求字节、缓存冷暖、完整决策时延和输出一致性。对历史压缩，还要检查是否丢失了抓持、失败和阶段状态。</w:t>
      </w:r>
    </w:p>
    <w:p>
      <w:pPr>
        <w:pStyle w:val="Heading2"/>
      </w:pPr>
      <w:r>
        <w:t>转为 PPT 第 21 页</w:t>
      </w:r>
    </w:p>
    <w:p>
      <w:pPr>
        <w:widowControl/>
      </w:pPr>
      <w:r>
        <w:rPr>
          <w:rFonts w:ascii="Arial" w:hAnsi="Arial" w:eastAsia="Hiragino Sans GB"/>
          <w:b w:val="0"/>
          <w:color w:val="000000"/>
        </w:rPr>
        <w:t>保留v5载荷前后、上下文增长及缓存三组数；Files API作为独立小表。用“字节—Token—缓存—延迟”关系图解释优化作用位置。</w:t>
      </w:r>
    </w:p>
    <w:p>
      <w:pPr>
        <w:widowControl/>
      </w:pPr>
      <w:r>
        <w:rPr>
          <w:rFonts w:ascii="Arial" w:hAnsi="Arial" w:eastAsia="Hiragino Sans GB"/>
          <w:b w:val="0"/>
          <w:color w:val="555555"/>
          <w:sz w:val="17"/>
        </w:rPr>
        <w:t>来源 L07、L08；v5与Files API为独立单局〔E3〕。Files API正文采用逐轮表，旧概览的3ms/token预算模型另记。</w:t>
      </w:r>
    </w:p>
    <w:p>
      <w:pPr>
        <w:pStyle w:val="Heading1"/>
        <w:pageBreakBefore/>
      </w:pPr>
      <w:r>
        <w:t>22 重放和载荷阶梯帮助分离首输出成本</w:t>
      </w:r>
    </w:p>
    <w:p>
      <w:pPr>
        <w:widowControl/>
      </w:pPr>
      <w:r>
        <w:rPr>
          <w:rFonts w:ascii="Arial" w:hAnsi="Arial" w:eastAsia="Hiragino Sans GB"/>
          <w:b w:val="0"/>
          <w:color w:val="000000"/>
        </w:rPr>
        <w:t>9份实际请求体共发送42次，其中33次流式，形成了固定载荷下的重复测量。它比不同机器人轨迹之间的直接比较更接近控制变量实验，适合研究请求长度、缓存与服务波动。〔E3〕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584"/>
        <w:gridCol w:w="1512"/>
        <w:gridCol w:w="1800"/>
        <w:gridCol w:w="2506"/>
      </w:tblGrid>
      <w:tr>
        <w:trPr>
          <w:cantSplit/>
          <w:tblHeader/>
        </w:trPr>
        <w:tc>
          <w:tcPr>
            <w:tcW w:type="dxa" w:w="2736"/>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请求体切片</w:t>
            </w:r>
          </w:p>
        </w:tc>
        <w:tc>
          <w:tcPr>
            <w:tcW w:type="dxa" w:w="158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输入Token</w:t>
            </w:r>
          </w:p>
        </w:tc>
        <w:tc>
          <w:tcPr>
            <w:tcW w:type="dxa" w:w="151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有效流式数</w:t>
            </w:r>
          </w:p>
        </w:tc>
        <w:tc>
          <w:tcPr>
            <w:tcW w:type="dxa" w:w="180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TTFT p50 s</w:t>
            </w:r>
          </w:p>
        </w:tc>
        <w:tc>
          <w:tcPr>
            <w:tcW w:type="dxa" w:w="250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TTFT范围 s</w:t>
            </w:r>
          </w:p>
        </w:tc>
      </w:tr>
      <w:tr>
        <w:trPr>
          <w:cantSplit/>
        </w:trPr>
        <w:tc>
          <w:tcPr>
            <w:tcW w:type="dxa" w:w="273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t0/s0 medium 小体</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13372</w:t>
            </w:r>
          </w:p>
        </w:tc>
        <w:tc>
          <w:tcPr>
            <w:tcW w:type="dxa" w:w="151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w:t>
            </w:r>
          </w:p>
        </w:tc>
        <w:tc>
          <w:tcPr>
            <w:tcW w:type="dxa" w:w="18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2.176</w:t>
            </w:r>
          </w:p>
        </w:tc>
        <w:tc>
          <w:tcPr>
            <w:tcW w:type="dxa" w:w="250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2.052–2.671</w:t>
            </w:r>
          </w:p>
        </w:tc>
      </w:tr>
      <w:tr>
        <w:trPr>
          <w:cantSplit/>
        </w:trPr>
        <w:tc>
          <w:tcPr>
            <w:tcW w:type="dxa" w:w="273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t0/s0 medium 大体</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64652</w:t>
            </w:r>
          </w:p>
        </w:tc>
        <w:tc>
          <w:tcPr>
            <w:tcW w:type="dxa" w:w="151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w:t>
            </w:r>
          </w:p>
        </w:tc>
        <w:tc>
          <w:tcPr>
            <w:tcW w:type="dxa" w:w="180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11.974</w:t>
            </w:r>
          </w:p>
        </w:tc>
        <w:tc>
          <w:tcPr>
            <w:tcW w:type="dxa" w:w="250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9.070–17.138</w:t>
            </w:r>
          </w:p>
        </w:tc>
      </w:tr>
      <w:tr>
        <w:trPr>
          <w:cantSplit/>
        </w:trPr>
        <w:tc>
          <w:tcPr>
            <w:tcW w:type="dxa" w:w="273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t0/s1 medium 大体</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81748</w:t>
            </w:r>
          </w:p>
        </w:tc>
        <w:tc>
          <w:tcPr>
            <w:tcW w:type="dxa" w:w="151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w:t>
            </w:r>
          </w:p>
        </w:tc>
        <w:tc>
          <w:tcPr>
            <w:tcW w:type="dxa" w:w="180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14.511</w:t>
            </w:r>
          </w:p>
        </w:tc>
        <w:tc>
          <w:tcPr>
            <w:tcW w:type="dxa" w:w="250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10.861–14.971</w:t>
            </w:r>
          </w:p>
        </w:tc>
      </w:tr>
      <w:tr>
        <w:trPr>
          <w:cantSplit/>
        </w:trPr>
        <w:tc>
          <w:tcPr>
            <w:tcW w:type="dxa" w:w="273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t9/s0 medium 大体</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229734</w:t>
            </w:r>
          </w:p>
        </w:tc>
        <w:tc>
          <w:tcPr>
            <w:tcW w:type="dxa" w:w="151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w:t>
            </w:r>
          </w:p>
        </w:tc>
        <w:tc>
          <w:tcPr>
            <w:tcW w:type="dxa" w:w="180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21.490</w:t>
            </w:r>
          </w:p>
        </w:tc>
        <w:tc>
          <w:tcPr>
            <w:tcW w:type="dxa" w:w="250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17.648–23.447</w:t>
            </w:r>
          </w:p>
        </w:tc>
      </w:tr>
    </w:tbl>
    <w:p>
      <w:pPr>
        <w:spacing w:after="0"/>
      </w:pPr>
    </w:p>
    <w:p>
      <w:pPr>
        <w:widowControl/>
      </w:pPr>
      <w:r>
        <w:rPr>
          <w:rFonts w:ascii="Arial" w:hAnsi="Arial" w:eastAsia="Hiragino Sans GB"/>
          <w:b w:val="0"/>
          <w:color w:val="000000"/>
        </w:rPr>
        <w:t>同体重复仍存在延迟波动，缓存Token也随发送变化。后续重放按冷缓存、暖缓存分层，并把A/B请求交错发送，减少不同时间服务负载的影响。</w:t>
      </w:r>
    </w:p>
    <w:p>
      <w:pPr>
        <w:widowControl/>
      </w:pPr>
      <w:r>
        <w:rPr>
          <w:rFonts w:ascii="Arial" w:hAnsi="Arial" w:eastAsia="Hiragino Sans GB"/>
          <w:b w:val="0"/>
          <w:color w:val="000000"/>
        </w:rPr>
        <w:t>载荷阶梯使用约0.05、0.5、1.5和4.3MiB请求，最短响应分别为1.386、2.369、2.445、3.855秒，差分拟合得到约1.804MB/s的链路/接收代理速率。它测的是网关载荷处理通路。</w:t>
      </w:r>
    </w:p>
    <w:p>
      <w:pPr>
        <w:widowControl/>
      </w:pPr>
      <w:r>
        <w:rPr>
          <w:rFonts w:ascii="Arial" w:hAnsi="Arial" w:eastAsia="Hiragino Sans GB"/>
          <w:b w:val="0"/>
          <w:color w:val="000000"/>
        </w:rPr>
        <w:t>历史输入阶梯的流式中位拟合斜率0.064722ms/token，非流式为0.019076ms/token；输出阶梯斜率1.391546ms/token。这些回归系数用于该网关的预算估算。精确prefill和decode算力归因，下一步采服务端trace与kernel profile。</w:t>
      </w:r>
    </w:p>
    <w:p>
      <w:pPr>
        <w:pStyle w:val="Heading2"/>
      </w:pPr>
      <w:r>
        <w:t>转为 PPT 第 22 页</w:t>
      </w:r>
    </w:p>
    <w:p>
      <w:pPr>
        <w:widowControl/>
      </w:pPr>
      <w:r>
        <w:rPr>
          <w:rFonts w:ascii="Arial" w:hAnsi="Arial" w:eastAsia="Hiragino Sans GB"/>
          <w:b w:val="0"/>
          <w:color w:val="000000"/>
        </w:rPr>
        <w:t>保留固定请求体重复TTFT范围图、载荷阶梯四点，以及一句“先做同体重放，再做服务端计算归因”。回归参数放表注，不作为芯片速度排名。</w:t>
      </w:r>
    </w:p>
    <w:p>
      <w:pPr>
        <w:widowControl/>
      </w:pPr>
      <w:r>
        <w:rPr>
          <w:rFonts w:ascii="Arial" w:hAnsi="Arial" w:eastAsia="Hiragino Sans GB"/>
          <w:b w:val="0"/>
          <w:color w:val="555555"/>
          <w:sz w:val="17"/>
        </w:rPr>
        <w:t>来源 L07及evidence-ds重放/阶梯/校准〔E3〕。阶梯响应为404路径；42次含33流式＋9非流式。</w:t>
      </w:r>
    </w:p>
    <w:p>
      <w:pPr>
        <w:pStyle w:val="Heading1"/>
        <w:pageBreakBefore/>
      </w:pPr>
      <w:r>
        <w:t>23 low think 的收益与适用位置</w:t>
      </w:r>
    </w:p>
    <w:p>
      <w:pPr>
        <w:widowControl/>
      </w:pPr>
      <w:r>
        <w:rPr>
          <w:rFonts w:ascii="Arial" w:hAnsi="Arial" w:eastAsia="Hiragino Sans GB"/>
          <w:b w:val="0"/>
          <w:color w:val="000000"/>
        </w:rPr>
        <w:t>导师最新实验反馈，开启low think后思考阶段从4.6秒降到1.4秒，减少3.2秒、降幅69.6%。这条结果支持继续验证较低思考预算；我们把它放入同体请求与闭环任务两级评测。〔E4，导师转述〕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168"/>
        <w:gridCol w:w="4738"/>
      </w:tblGrid>
      <w:tr>
        <w:trPr>
          <w:cantSplit/>
          <w:tblHeader/>
        </w:trPr>
        <w:tc>
          <w:tcPr>
            <w:tcW w:type="dxa" w:w="223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优化手段</w:t>
            </w:r>
          </w:p>
        </w:tc>
        <w:tc>
          <w:tcPr>
            <w:tcW w:type="dxa" w:w="316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直接改变什么</w:t>
            </w:r>
          </w:p>
        </w:tc>
        <w:tc>
          <w:tcPr>
            <w:tcW w:type="dxa" w:w="473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主要观察量</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low think / none</w:t>
            </w:r>
          </w:p>
        </w:tc>
        <w:tc>
          <w:tcPr>
            <w:tcW w:type="dxa" w:w="316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一次调用的思考预算</w:t>
            </w:r>
          </w:p>
        </w:tc>
        <w:tc>
          <w:tcPr>
            <w:tcW w:type="dxa" w:w="473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思考/完整请求、正确动作、后续恢复</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紧凑输出Schema</w:t>
            </w:r>
          </w:p>
        </w:tc>
        <w:tc>
          <w:tcPr>
            <w:tcW w:type="dxa" w:w="316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可见输出Token</w:t>
            </w:r>
          </w:p>
        </w:tc>
        <w:tc>
          <w:tcPr>
            <w:tcW w:type="dxa" w:w="473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生成窗口、解析成功、可执行时刻</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必要图像＋短状态</w:t>
            </w:r>
          </w:p>
        </w:tc>
        <w:tc>
          <w:tcPr>
            <w:tcW w:type="dxa" w:w="316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输入准备与上下文</w:t>
            </w:r>
          </w:p>
        </w:tc>
        <w:tc>
          <w:tcPr>
            <w:tcW w:type="dxa" w:w="473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字节、未缓存Token、TTFT、状态保真</w:t>
            </w:r>
          </w:p>
        </w:tc>
      </w:tr>
      <w:tr>
        <w:trPr>
          <w:cantSplit/>
        </w:trPr>
        <w:tc>
          <w:tcPr>
            <w:tcW w:type="dxa" w:w="223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事件触发/复合技能</w:t>
            </w:r>
          </w:p>
        </w:tc>
        <w:tc>
          <w:tcPr>
            <w:tcW w:type="dxa" w:w="316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高层调用次数</w:t>
            </w:r>
          </w:p>
        </w:tc>
        <w:tc>
          <w:tcPr>
            <w:tcW w:type="dxa" w:w="473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N、漏检、恢复、整集时间</w:t>
            </w:r>
          </w:p>
        </w:tc>
      </w:tr>
      <w:tr>
        <w:trPr>
          <w:cantSplit/>
        </w:trPr>
        <w:tc>
          <w:tcPr>
            <w:tcW w:type="dxa" w:w="223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π推理加速/异步</w:t>
            </w:r>
          </w:p>
        </w:tc>
        <w:tc>
          <w:tcPr>
            <w:tcW w:type="dxa" w:w="316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动作块交付时间</w:t>
            </w:r>
          </w:p>
        </w:tc>
        <w:tc>
          <w:tcPr>
            <w:tcW w:type="dxa" w:w="473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p95/p99、buffer、deadline miss</w:t>
            </w:r>
          </w:p>
        </w:tc>
      </w:tr>
    </w:tbl>
    <w:p>
      <w:pPr>
        <w:spacing w:after="0"/>
      </w:pPr>
    </w:p>
    <w:p>
      <w:pPr>
        <w:widowControl/>
      </w:pPr>
      <w:r>
        <w:rPr>
          <w:rFonts w:ascii="Arial" w:hAnsi="Arial" w:eastAsia="Hiragino Sans GB"/>
          <w:b w:val="0"/>
          <w:color w:val="000000"/>
        </w:rPr>
        <w:t>若思考原本占完整请求时间比例f，在其余阶段与调用数固定时，完整请求降幅预算为69.6%×f。例如f=30%时，预算降幅20.9%；这条公式帮助我们选择最值得降思考的请求类型。〔E3，条件测算〕</w:t>
      </w:r>
    </w:p>
    <w:p>
      <w:pPr>
        <w:widowControl/>
      </w:pPr>
      <w:r>
        <w:rPr>
          <w:rFonts w:ascii="Arial" w:hAnsi="Arial" w:eastAsia="Hiragino Sans GB"/>
          <w:b w:val="0"/>
          <w:color w:val="000000"/>
        </w:rPr>
        <w:t>low think、JEV和Astra/JEV＋VLA解决的位置不同：low think调一次推理的成本；JEV改变候选决策的实现；分层组合改变高层调用频率与执行分工。它们可以组合，也应分步测出各自贡献。</w:t>
      </w:r>
    </w:p>
    <w:p>
      <w:pPr>
        <w:pStyle w:val="Heading2"/>
      </w:pPr>
      <w:r>
        <w:t>转为 PPT 第 23 页</w:t>
      </w:r>
    </w:p>
    <w:p>
      <w:pPr>
        <w:widowControl/>
      </w:pPr>
      <w:r>
        <w:rPr>
          <w:rFonts w:ascii="Arial" w:hAnsi="Arial" w:eastAsia="Hiragino Sans GB"/>
          <w:b w:val="0"/>
          <w:color w:val="000000"/>
        </w:rPr>
        <w:t>保留4.6→1.4秒的阶段变化、优化作用位置表和69.6%×f公式。将low think、JEV、分层VLA放在“单次成本—决策机制—调用与执行组织”三个位置。</w:t>
      </w:r>
    </w:p>
    <w:p>
      <w:pPr>
        <w:widowControl/>
      </w:pPr>
      <w:r>
        <w:rPr>
          <w:rFonts w:ascii="Arial" w:hAnsi="Arial" w:eastAsia="Hiragino Sans GB"/>
          <w:b w:val="0"/>
          <w:color w:val="555555"/>
          <w:sz w:val="17"/>
        </w:rPr>
        <w:t>导师反馈〔E4〕；候选方案与条件预算〔E3〕。阶段反馈后续补模型、样本量、计时起止与同体质量记录。</w:t>
      </w:r>
    </w:p>
    <w:p>
      <w:pPr>
        <w:pStyle w:val="Heading1"/>
        <w:pageBreakBefore/>
      </w:pPr>
      <w:r>
        <w:t>24 训练空间判断和可验证的恢复决策</w:t>
      </w:r>
    </w:p>
    <w:p>
      <w:pPr>
        <w:widowControl/>
      </w:pPr>
      <w:r>
        <w:rPr>
          <w:rFonts w:ascii="Arial" w:hAnsi="Arial" w:eastAsia="Hiragino Sans GB"/>
          <w:b w:val="0"/>
          <w:color w:val="000000"/>
        </w:rPr>
        <w:t>模型层优先迁移Astra的观察、验证和修正能力。我们将空间落点、抓持状态、子目标与恢复选择做成结构化监督，再让学生在自己的偏离状态上继续采样和学习。〔E3，研究设计〕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680"/>
        <w:gridCol w:w="3586"/>
      </w:tblGrid>
      <w:tr>
        <w:trPr>
          <w:cantSplit/>
          <w:tblHeader/>
        </w:trPr>
        <w:tc>
          <w:tcPr>
            <w:tcW w:type="dxa" w:w="187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训练阶段</w:t>
            </w:r>
          </w:p>
        </w:tc>
        <w:tc>
          <w:tcPr>
            <w:tcW w:type="dxa" w:w="468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具体输入与监督</w:t>
            </w:r>
          </w:p>
        </w:tc>
        <w:tc>
          <w:tcPr>
            <w:tcW w:type="dxa" w:w="358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主要验收</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空间与状态 SFT</w:t>
            </w:r>
          </w:p>
        </w:tc>
        <w:tc>
          <w:tcPr>
            <w:tcW w:type="dxa" w:w="468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多视角＋状态 → 对象、相对位置、可放置区、抓持/完成标签</w:t>
            </w:r>
          </w:p>
        </w:tc>
        <w:tc>
          <w:tcPr>
            <w:tcW w:type="dxa" w:w="358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落点误差、关系准确率、假抓持/假完成率</w:t>
            </w:r>
          </w:p>
        </w:tc>
      </w:tr>
      <w:tr>
        <w:trPr>
          <w:cantSplit/>
        </w:trPr>
        <w:tc>
          <w:tcPr>
            <w:tcW w:type="dxa" w:w="187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行为蒸馏</w:t>
            </w:r>
          </w:p>
        </w:tc>
        <w:tc>
          <w:tcPr>
            <w:tcW w:type="dxa" w:w="468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当前状态＋候选 → 教师选择＋实际执行结果</w:t>
            </w:r>
          </w:p>
        </w:tc>
        <w:tc>
          <w:tcPr>
            <w:tcW w:type="dxa" w:w="358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有效动作、阶段推进、恢复成功</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学生状态补标</w:t>
            </w:r>
          </w:p>
        </w:tc>
        <w:tc>
          <w:tcPr>
            <w:tcW w:type="dxa" w:w="468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学生访问的偏离状态 → 教师纠正与短分支结果</w:t>
            </w:r>
          </w:p>
        </w:tc>
        <w:tc>
          <w:tcPr>
            <w:tcW w:type="dxa" w:w="358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偏离后回收率、未见初态成功</w:t>
            </w:r>
          </w:p>
        </w:tc>
      </w:tr>
      <w:tr>
        <w:trPr>
          <w:cantSplit/>
        </w:trPr>
        <w:tc>
          <w:tcPr>
            <w:tcW w:type="dxa" w:w="187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高层 RL</w:t>
            </w:r>
          </w:p>
        </w:tc>
        <w:tc>
          <w:tcPr>
            <w:tcW w:type="dxa" w:w="468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子目标、技能、验证/停止决策 → 环境反馈</w:t>
            </w:r>
          </w:p>
        </w:tc>
        <w:tc>
          <w:tcPr>
            <w:tcW w:type="dxa" w:w="358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终局成功、正确恢复、无效重复调用</w:t>
            </w:r>
          </w:p>
        </w:tc>
      </w:tr>
      <w:tr>
        <w:trPr>
          <w:cantSplit/>
        </w:trPr>
        <w:tc>
          <w:tcPr>
            <w:tcW w:type="dxa" w:w="187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预算优化</w:t>
            </w:r>
          </w:p>
        </w:tc>
        <w:tc>
          <w:tcPr>
            <w:tcW w:type="dxa" w:w="468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同任务质量下学习何时多想或升级模型</w:t>
            </w:r>
          </w:p>
        </w:tc>
        <w:tc>
          <w:tcPr>
            <w:tcW w:type="dxa" w:w="358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高层次数、输出Token、完整决策延迟</w:t>
            </w:r>
          </w:p>
        </w:tc>
      </w:tr>
    </w:tbl>
    <w:p>
      <w:pPr>
        <w:spacing w:after="0"/>
      </w:pPr>
    </w:p>
    <w:p>
      <w:pPr>
        <w:widowControl/>
      </w:pPr>
      <w:r>
        <w:rPr>
          <w:rFonts w:ascii="Arial" w:hAnsi="Arial" w:eastAsia="Hiragino Sans GB"/>
          <w:b w:val="0"/>
          <w:color w:val="000000"/>
        </w:rPr>
        <w:t>RoboSpatial与SpatialVLM提供参考系和空间关系监督思路；DAgger强调在学生实际访问的状态上补标；Embodied-R1.5把规划、定位和纠正纳入具身后训练。这些工作与我们已有的抓空、偏差修正和部件选错案例直接对应。</w:t>
      </w:r>
    </w:p>
    <w:p>
      <w:pPr>
        <w:widowControl/>
      </w:pPr>
      <w:r>
        <w:rPr>
          <w:rFonts w:ascii="Arial" w:hAnsi="Arial" w:eastAsia="Hiragino Sans GB"/>
          <w:b w:val="0"/>
          <w:color w:val="000000"/>
        </w:rPr>
        <w:t>每条训练记录保存任务、观测、子目标、实际执行动作、下一观测、局部结果、终局结果和失败类型。标签优先由仿真状态与执行后果校验，轨迹按场景和初态分组切分。归档保留了统计与必要图像样例，训练集建设先盘点图像覆盖，再定向补采失败和恢复状态。</w:t>
      </w:r>
    </w:p>
    <w:p>
      <w:pPr>
        <w:widowControl/>
      </w:pPr>
      <w:r>
        <w:rPr>
          <w:rFonts w:ascii="Arial" w:hAnsi="Arial" w:eastAsia="Hiragino Sans GB"/>
          <w:b w:val="0"/>
          <w:color w:val="000000"/>
        </w:rPr>
        <w:t>几何输出可进一步比较紧凑JSON与typed spatial head，减少坐标文本生成。Pointing-VLA是这一方向的研究参考，首轮保持相同训练数据和执行器，分别测输出精度与动作就绪时延。</w:t>
      </w:r>
    </w:p>
    <w:p>
      <w:pPr>
        <w:pStyle w:val="Heading2"/>
      </w:pPr>
      <w:r>
        <w:t>转为 PPT 第 24 页</w:t>
      </w:r>
    </w:p>
    <w:p>
      <w:pPr>
        <w:widowControl/>
      </w:pPr>
      <w:r>
        <w:rPr>
          <w:rFonts w:ascii="Arial" w:hAnsi="Arial" w:eastAsia="Hiragino Sans GB"/>
          <w:b w:val="0"/>
          <w:color w:val="000000"/>
        </w:rPr>
        <w:t>保留五阶段训练表与“观察—验证—修正”样例。把假抓持率、假完成率、恢复成功率列为重点指标，终局成功率作为最终验收。</w:t>
      </w:r>
    </w:p>
    <w:p>
      <w:pPr>
        <w:widowControl/>
      </w:pPr>
      <w:r>
        <w:rPr>
          <w:rFonts w:ascii="Arial" w:hAnsi="Arial" w:eastAsia="Hiragino Sans GB"/>
          <w:b w:val="0"/>
          <w:color w:val="555555"/>
          <w:sz w:val="17"/>
        </w:rPr>
        <w:t>来源 L02；W05–W10；机制依据和本项目训练设计〔E3〕。首轮固定π权重与Harness，再逐项加入训练变化。</w:t>
      </w:r>
    </w:p>
    <w:p>
      <w:pPr>
        <w:pStyle w:val="Heading1"/>
        <w:pageBreakBefore/>
      </w:pPr>
      <w:r>
        <w:t>25 Harness 以状态验收和复合技能递进改进</w:t>
      </w:r>
    </w:p>
    <w:p>
      <w:pPr>
        <w:widowControl/>
      </w:pPr>
      <w:r>
        <w:rPr>
          <w:rFonts w:ascii="Arial" w:hAnsi="Arial" w:eastAsia="Hiragino Sans GB"/>
          <w:b w:val="0"/>
          <w:color w:val="000000"/>
        </w:rPr>
        <w:t>下一版RPent先把技能的前置条件、预期效果与失败类型记录清楚，再加入局部恢复和复合技能。这样每一步都有独立的对照结果，也便于找到减少调用的来源。〔E3，实验设计〕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4090"/>
      </w:tblGrid>
      <w:tr>
        <w:trPr>
          <w:cantSplit/>
          <w:tblHeader/>
        </w:trPr>
        <w:tc>
          <w:tcPr>
            <w:tcW w:type="dxa" w:w="172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对照臂</w:t>
            </w:r>
          </w:p>
        </w:tc>
        <w:tc>
          <w:tcPr>
            <w:tcW w:type="dxa" w:w="432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改动</w:t>
            </w:r>
          </w:p>
        </w:tc>
        <w:tc>
          <w:tcPr>
            <w:tcW w:type="dxa" w:w="409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记录的主要数据</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H0 当前RPent</w:t>
            </w:r>
          </w:p>
        </w:tc>
        <w:tc>
          <w:tcPr>
            <w:tcW w:type="dxa" w:w="43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保留现有planner、π、工具与记忆</w:t>
            </w:r>
          </w:p>
        </w:tc>
        <w:tc>
          <w:tcPr>
            <w:tcW w:type="dxa" w:w="409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成功、N、工具、恢复和各阶段时间</w:t>
            </w:r>
          </w:p>
        </w:tc>
      </w:tr>
      <w:tr>
        <w:trPr>
          <w:cantSplit/>
        </w:trPr>
        <w:tc>
          <w:tcPr>
            <w:tcW w:type="dxa" w:w="172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H1 状态验收</w:t>
            </w:r>
          </w:p>
        </w:tc>
        <w:tc>
          <w:tcPr>
            <w:tcW w:type="dxa" w:w="43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状态先shadow校准；正式H1将验收提供给原planner</w:t>
            </w:r>
          </w:p>
        </w:tc>
        <w:tc>
          <w:tcPr>
            <w:tcW w:type="dxa" w:w="409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误报、漏报、unknown、阶段真值</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H2 局部恢复</w:t>
            </w:r>
          </w:p>
        </w:tc>
        <w:tc>
          <w:tcPr>
            <w:tcW w:type="dxa" w:w="43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重观测后调整接近；限制无进展重试</w:t>
            </w:r>
          </w:p>
        </w:tc>
        <w:tc>
          <w:tcPr>
            <w:tcW w:type="dxa" w:w="409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恢复次数、恢复成功、额外动作成本</w:t>
            </w:r>
          </w:p>
        </w:tc>
      </w:tr>
      <w:tr>
        <w:trPr>
          <w:cantSplit/>
        </w:trPr>
        <w:tc>
          <w:tcPr>
            <w:tcW w:type="dxa" w:w="172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H3 复合技能</w:t>
            </w:r>
          </w:p>
        </w:tc>
        <w:tc>
          <w:tcPr>
            <w:tcW w:type="dxa" w:w="432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组合pick-and-place并保留检查点</w:t>
            </w:r>
          </w:p>
        </w:tc>
        <w:tc>
          <w:tcPr>
            <w:tcW w:type="dxa" w:w="409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每成功子目标的高层调用与时间</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H4 事件触发</w:t>
            </w:r>
          </w:p>
        </w:tc>
        <w:tc>
          <w:tcPr>
            <w:tcW w:type="dxa" w:w="432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歧义、失去抓持、停滞时刷新高层</w:t>
            </w:r>
          </w:p>
        </w:tc>
        <w:tc>
          <w:tcPr>
            <w:tcW w:type="dxa" w:w="409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漏检、调用、AoI、终局成功</w:t>
            </w:r>
          </w:p>
        </w:tc>
      </w:tr>
    </w:tbl>
    <w:p>
      <w:pPr>
        <w:spacing w:after="0"/>
      </w:pPr>
    </w:p>
    <w:p>
      <w:pPr>
        <w:widowControl/>
      </w:pPr>
      <w:r>
        <w:rPr>
          <w:rFonts w:ascii="Arial" w:hAnsi="Arial" w:eastAsia="Hiragino Sans GB"/>
          <w:b w:val="0"/>
          <w:color w:val="000000"/>
        </w:rPr>
        <w:t>经验表示作为独立实验轴：基线、Lessons、Lessons＋Skills、同源原始历史。内容保留适用条件、失败迹象和已验证的恢复动作；上下文长度与经验获取成本分别记录。</w:t>
      </w:r>
    </w:p>
    <w:p>
      <w:pPr>
        <w:widowControl/>
      </w:pPr>
      <w:r>
        <w:rPr>
          <w:rFonts w:ascii="Arial" w:hAnsi="Arial" w:eastAsia="Hiragino Sans GB"/>
          <w:b w:val="0"/>
          <w:color w:val="000000"/>
        </w:rPr>
        <w:t>COAP强调显式状态与冻结程序，EmbodiedEvo保留在线Agent并复用Skills/Lessons，RPent Flash则固定任务流程。我们先在成熟阶段试验程序化执行，在异常节点保留模型判断，再根据真实触发率决定分工。</w:t>
      </w:r>
    </w:p>
    <w:p>
      <w:pPr>
        <w:widowControl/>
      </w:pPr>
      <w:r>
        <w:rPr>
          <w:rFonts w:ascii="Arial" w:hAnsi="Arial" w:eastAsia="Hiragino Sans GB"/>
          <w:b w:val="0"/>
          <w:color w:val="000000"/>
        </w:rPr>
        <w:t>JEV先做固定状态、固定候选的规则/Astra/JEV选择对照。候选覆盖率和选择正确率先过关，再加入闭环，统一累计选择调用与后续恢复成本。</w:t>
      </w:r>
    </w:p>
    <w:p>
      <w:pPr>
        <w:pStyle w:val="Heading2"/>
      </w:pPr>
      <w:r>
        <w:t>转为 PPT 第 25 页</w:t>
      </w:r>
    </w:p>
    <w:p>
      <w:pPr>
        <w:widowControl/>
      </w:pPr>
      <w:r>
        <w:rPr>
          <w:rFonts w:ascii="Arial" w:hAnsi="Arial" w:eastAsia="Hiragino Sans GB"/>
          <w:b w:val="0"/>
          <w:color w:val="000000"/>
        </w:rPr>
        <w:t>保留H0→H4递进图，每一阶段只标一项改动。下方放“同状态同候选”的JEV比较设计与经验表示独立轴。</w:t>
      </w:r>
    </w:p>
    <w:p>
      <w:pPr>
        <w:widowControl/>
      </w:pPr>
      <w:r>
        <w:rPr>
          <w:rFonts w:ascii="Arial" w:hAnsi="Arial" w:eastAsia="Hiragino Sans GB"/>
          <w:b w:val="0"/>
          <w:color w:val="555555"/>
          <w:sz w:val="17"/>
        </w:rPr>
        <w:t>来源 L09–L12、W11、W12；现有机制〔E1/E3〕，对照设计〔E3〕。终态评估器独立于策略。</w:t>
      </w:r>
    </w:p>
    <w:p>
      <w:pPr>
        <w:pStyle w:val="Heading1"/>
        <w:pageBreakBefore/>
      </w:pPr>
      <w:r>
        <w:t>26 协作频率由动作覆盖和状态有效期决定</w:t>
      </w:r>
    </w:p>
    <w:p>
      <w:pPr>
        <w:widowControl/>
      </w:pPr>
      <w:r>
        <w:rPr>
          <w:rFonts w:ascii="Arial" w:hAnsi="Arial" w:eastAsia="Hiragino Sans GB"/>
          <w:b w:val="0"/>
          <w:color w:val="000000"/>
        </w:rPr>
        <w:t>VLM和VLA需要不同的刷新节奏。低层动作控制维持稳定步进，VLA补充动作块，VLM在子目标变化和异常时更新计划。选择频率时，先用完整结果延迟检查缓冲覆盖，再通过延迟注入验证状态有效期。〔E3〕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536"/>
        <w:gridCol w:w="3802"/>
      </w:tblGrid>
      <w:tr>
        <w:trPr>
          <w:cantSplit/>
          <w:tblHeader/>
        </w:trPr>
        <w:tc>
          <w:tcPr>
            <w:tcW w:type="dxa" w:w="180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时钟</w:t>
            </w:r>
          </w:p>
        </w:tc>
        <w:tc>
          <w:tcPr>
            <w:tcW w:type="dxa" w:w="453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初始设计或扫描</w:t>
            </w:r>
          </w:p>
        </w:tc>
        <w:tc>
          <w:tcPr>
            <w:tcW w:type="dxa" w:w="380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评价量</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控制周期</w:t>
            </w:r>
          </w:p>
        </w:tc>
        <w:tc>
          <w:tcPr>
            <w:tcW w:type="dxa" w:w="45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以现有20Hz协议为起点</w:t>
            </w:r>
          </w:p>
        </w:tc>
        <w:tc>
          <w:tcPr>
            <w:tcW w:type="dxa" w:w="380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控制跟随、接触稳定、仿真/墙钟比</w:t>
            </w:r>
          </w:p>
        </w:tc>
      </w:tr>
      <w:tr>
        <w:trPr>
          <w:cantSplit/>
        </w:trPr>
        <w:tc>
          <w:tcPr>
            <w:tcW w:type="dxa" w:w="180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VLA刷新</w:t>
            </w:r>
          </w:p>
        </w:tc>
        <w:tc>
          <w:tcPr>
            <w:tcW w:type="dxa" w:w="45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执行前缀K=2/5/8/10步</w:t>
            </w:r>
          </w:p>
        </w:tc>
        <w:tc>
          <w:tcPr>
            <w:tcW w:type="dxa" w:w="380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chunk延迟p95/p99、buffer、停顿、成功</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VLM高层</w:t>
            </w:r>
          </w:p>
        </w:tc>
        <w:tc>
          <w:tcPr>
            <w:tcW w:type="dxa" w:w="45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逐工具、预算匹配固定降频、事件触发</w:t>
            </w:r>
          </w:p>
        </w:tc>
        <w:tc>
          <w:tcPr>
            <w:tcW w:type="dxa" w:w="380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完整决策时延、AoI、漏检、调用数</w:t>
            </w:r>
          </w:p>
        </w:tc>
      </w:tr>
      <w:tr>
        <w:trPr>
          <w:cantSplit/>
        </w:trPr>
        <w:tc>
          <w:tcPr>
            <w:tcW w:type="dxa" w:w="180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调度余量</w:t>
            </w:r>
          </w:p>
        </w:tc>
        <w:tc>
          <w:tcPr>
            <w:tcW w:type="dxa" w:w="45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用延迟注入扫描网络与负载长尾</w:t>
            </w:r>
          </w:p>
        </w:tc>
        <w:tc>
          <w:tcPr>
            <w:tcW w:type="dxa" w:w="380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deadline miss、过期结果、恢复成本</w:t>
            </w:r>
          </w:p>
        </w:tc>
      </w:tr>
    </w:tbl>
    <w:p>
      <w:pPr>
        <w:spacing w:after="0"/>
      </w:pPr>
    </w:p>
    <w:p>
      <w:pPr>
        <w:widowControl/>
      </w:pPr>
      <w:r>
        <w:rPr>
          <w:rFonts w:ascii="Arial" w:hAnsi="Arial" w:eastAsia="Hiragino Sans GB"/>
          <w:b w:val="0"/>
          <w:color w:val="000000"/>
        </w:rPr>
        <w:t>设当前缓冲仍有B步动作，控制周期为Δt，下一块完整可用延迟为L，调度余量为J。初筛条件如下：</w:t>
      </w:r>
    </w:p>
    <w:p>
      <w:pPr>
        <w:widowControl/>
      </w:pPr>
      <w:r>
        <w:rPr>
          <w:rFonts w:ascii="Arial" w:hAnsi="Arial" w:eastAsia="Hiragino Sans GB"/>
          <w:b w:val="0"/>
          <w:color w:val="000000"/>
        </w:rPr>
      </w:r>
      <w:r>
        <w:rPr>
          <w:rFonts w:ascii="Arial" w:hAnsi="Arial" w:eastAsia="Hiragino Sans GB"/>
          <w:b/>
          <w:color w:val="000000"/>
        </w:rPr>
        <w:t>L_p95＋J &lt; B×Δt</w:t>
      </w:r>
      <w:r>
        <w:rPr>
          <w:rFonts w:ascii="Arial" w:hAnsi="Arial" w:eastAsia="Hiragino Sans GB"/>
          <w:b w:val="0"/>
          <w:color w:val="000000"/>
        </w:rPr>
      </w:r>
    </w:p>
    <w:p>
      <w:pPr>
        <w:widowControl/>
      </w:pPr>
      <w:r>
        <w:rPr>
          <w:rFonts w:ascii="Arial" w:hAnsi="Arial" w:eastAsia="Hiragino Sans GB"/>
          <w:b w:val="0"/>
          <w:color w:val="000000"/>
        </w:rPr>
        <w:t>同时记录AoI＝动作提交时刻−观测生成时刻，并要求它处于该任务阶段实测的有效期内。</w:t>
      </w:r>
    </w:p>
    <w:p>
      <w:pPr>
        <w:widowControl/>
      </w:pPr>
      <w:r>
        <w:rPr>
          <w:rFonts w:ascii="Arial" w:hAnsi="Arial" w:eastAsia="Hiragino Sans GB"/>
          <w:b w:val="0"/>
          <w:color w:val="000000"/>
        </w:rPr>
        <w:t>20Hz下5步覆盖250ms。固定观测π校准的中位延迟为361.047ms，零额外开销的中位预算需要约1.44倍速度，或通过提前推理覆盖等待；加长chunk是另一条实验轴。20Hz下K=2/5/8/10对应10/4/2.5/2Hz的动作块消耗速率。</w:t>
      </w:r>
    </w:p>
    <w:p>
      <w:pPr>
        <w:widowControl/>
      </w:pPr>
      <w:r>
        <w:rPr>
          <w:rFonts w:ascii="Arial" w:hAnsi="Arial" w:eastAsia="Hiragino Sans GB"/>
          <w:b w:val="0"/>
          <w:color w:val="000000"/>
        </w:rPr>
        <w:t>高层先采用阶段事件触发，并以0.2、0.5、1Hz作为本地/延迟注入的固定刷新对照网格。云端配置先测完整决策延迟和排队，再筛掉无法维持的频率。我们最终选择满足质量与陈旧度约束、停顿最少的配置。</w:t>
      </w:r>
    </w:p>
    <w:p>
      <w:pPr>
        <w:pStyle w:val="Heading2"/>
      </w:pPr>
      <w:r>
        <w:t>转为 PPT 第 26 页</w:t>
      </w:r>
    </w:p>
    <w:p>
      <w:pPr>
        <w:widowControl/>
      </w:pPr>
      <w:r>
        <w:rPr>
          <w:rFonts w:ascii="Arial" w:hAnsi="Arial" w:eastAsia="Hiragino Sans GB"/>
          <w:b w:val="0"/>
          <w:color w:val="000000"/>
        </w:rPr>
        <w:t>保留三时钟示意、覆盖公式与361ms对250ms例子。频率表明确写“首轮扫描值”，结果页预留成功率—停顿率—AoI三轴。</w:t>
      </w:r>
    </w:p>
    <w:p>
      <w:pPr>
        <w:widowControl/>
      </w:pPr>
      <w:r>
        <w:rPr>
          <w:rFonts w:ascii="Arial" w:hAnsi="Arial" w:eastAsia="Hiragino Sans GB"/>
          <w:b w:val="0"/>
          <w:color w:val="555555"/>
          <w:sz w:val="17"/>
        </w:rPr>
        <w:t>来源 L03、L06、L13、W13–W15；实测校准〔E3〕，频率扫描为设计〔E3〕。校准每配置3次；K扫描限模型预测长度。正式调度使用p95、余量和deadline miss验收。</w:t>
      </w:r>
    </w:p>
    <w:p>
      <w:pPr>
        <w:pStyle w:val="Heading1"/>
        <w:pageBreakBefore/>
      </w:pPr>
      <w:r>
        <w:t>27 用异步执行和本地 profile 实现目标频率</w:t>
      </w:r>
    </w:p>
    <w:p>
      <w:pPr>
        <w:widowControl/>
      </w:pPr>
      <w:r>
        <w:rPr>
          <w:rFonts w:ascii="Arial" w:hAnsi="Arial" w:eastAsia="Hiragino Sans GB"/>
          <w:b w:val="0"/>
          <w:color w:val="000000"/>
        </w:rPr>
        <w:t>异步的目标是让当前技能执行覆盖下一次决策等待，同时保证返回结果仍适用于当前状态。本地加速则优先针对决定动作交付时刻的阶段，按固定输入逐项profile。〔E3，工程设计〕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730"/>
      </w:tblGrid>
      <w:tr>
        <w:trPr>
          <w:cantSplit/>
          <w:tblHeader/>
        </w:trPr>
        <w:tc>
          <w:tcPr>
            <w:tcW w:type="dxa" w:w="180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实施点</w:t>
            </w:r>
          </w:p>
        </w:tc>
        <w:tc>
          <w:tcPr>
            <w:tcW w:type="dxa" w:w="460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具体做法</w:t>
            </w:r>
          </w:p>
        </w:tc>
        <w:tc>
          <w:tcPr>
            <w:tcW w:type="dxa" w:w="373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对账指标</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动作块重叠</w:t>
            </w:r>
          </w:p>
        </w:tc>
        <w:tc>
          <w:tcPr>
            <w:tcW w:type="dxa" w:w="46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执行当前块时生成下一块；固定已承诺前缀</w:t>
            </w:r>
          </w:p>
        </w:tc>
        <w:tc>
          <w:tcPr>
            <w:tcW w:type="dxa" w:w="373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重叠秒数、切换跳变、剩余buffer</w:t>
            </w:r>
          </w:p>
        </w:tc>
      </w:tr>
      <w:tr>
        <w:trPr>
          <w:cantSplit/>
        </w:trPr>
        <w:tc>
          <w:tcPr>
            <w:tcW w:type="dxa" w:w="180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高层队列</w:t>
            </w:r>
          </w:p>
        </w:tc>
        <w:tc>
          <w:tcPr>
            <w:tcW w:type="dxa" w:w="46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一个in-flight＋可覆盖pending；带阶段版本</w:t>
            </w:r>
          </w:p>
        </w:tc>
        <w:tc>
          <w:tcPr>
            <w:tcW w:type="dxa" w:w="373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队列时长、过期回复、重规划率</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状态有效性</w:t>
            </w:r>
          </w:p>
        </w:tc>
        <w:tc>
          <w:tcPr>
            <w:tcW w:type="dxa" w:w="46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提交动作前复核对象与前置条件</w:t>
            </w:r>
          </w:p>
        </w:tc>
        <w:tc>
          <w:tcPr>
            <w:tcW w:type="dxa" w:w="373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AoI、失效结果拦截、漏检</w:t>
            </w:r>
          </w:p>
        </w:tc>
      </w:tr>
      <w:tr>
        <w:trPr>
          <w:cantSplit/>
        </w:trPr>
        <w:tc>
          <w:tcPr>
            <w:tcW w:type="dxa" w:w="180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观测与渲染</w:t>
            </w:r>
          </w:p>
        </w:tc>
        <w:tc>
          <w:tcPr>
            <w:tcW w:type="dxa" w:w="46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按策略需求取图，复用不变视图与读回</w:t>
            </w:r>
          </w:p>
        </w:tc>
        <w:tc>
          <w:tcPr>
            <w:tcW w:type="dxa" w:w="373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渲染/编码/传输时间、信息保真</w:t>
            </w:r>
          </w:p>
        </w:tc>
      </w:tr>
      <w:tr>
        <w:trPr>
          <w:cantSplit/>
        </w:trPr>
        <w:tc>
          <w:tcPr>
            <w:tcW w:type="dxa" w:w="180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服务端计算</w:t>
            </w:r>
          </w:p>
        </w:tc>
        <w:tc>
          <w:tcPr>
            <w:tcW w:type="dxa" w:w="46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分视觉编码、prefill、decode、KV与去噪采集</w:t>
            </w:r>
          </w:p>
        </w:tc>
        <w:tc>
          <w:tcPr>
            <w:tcW w:type="dxa" w:w="373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kernel时间、带宽、显存、同步等待</w:t>
            </w:r>
          </w:p>
        </w:tc>
      </w:tr>
    </w:tbl>
    <w:p>
      <w:pPr>
        <w:spacing w:after="0"/>
      </w:pPr>
    </w:p>
    <w:p>
      <w:pPr>
        <w:widowControl/>
      </w:pPr>
      <w:r>
        <w:rPr>
          <w:rFonts w:ascii="Arial" w:hAnsi="Arial" w:eastAsia="Hiragino Sans GB"/>
          <w:b w:val="0"/>
          <w:color w:val="000000"/>
        </w:rPr>
        <w:t>每次异步可覆盖的等待预算为min(完整请求延迟L，可独立执行窗口E)。净收益再扣除监测与新增恢复成本。RTC通过动作前缀约束与后段补全处理chunk衔接，适合低层连续执行；高层仍需要阶段版本和过期结果处理。</w:t>
      </w:r>
    </w:p>
    <w:p>
      <w:pPr>
        <w:widowControl/>
      </w:pPr>
      <w:r>
        <w:rPr>
          <w:rFonts w:ascii="Arial" w:hAnsi="Arial" w:eastAsia="Hiragino Sans GB"/>
          <w:b w:val="0"/>
          <w:color w:val="000000"/>
        </w:rPr>
        <w:t>算力实验从固定输入、固定输出长度与固定缓存状态起步。先测CPU前处理和网络，再用设备trace分离视觉编码、prefill与生成；π则分prefix和denoise。精度、编译、融合或缓存改动一次只做一项，随后回到闭环检查动作质量。</w:t>
      </w:r>
    </w:p>
    <w:p>
      <w:pPr>
        <w:widowControl/>
      </w:pPr>
      <w:r>
        <w:rPr>
          <w:rFonts w:ascii="Arial" w:hAnsi="Arial" w:eastAsia="Hiragino Sans GB"/>
          <w:b w:val="0"/>
          <w:color w:val="000000"/>
        </w:rPr>
        <w:t>性能报告最终同时给出累计工作量、关键路径墙钟和截止时间违约率。这样既能衡量吞吐收益，也能说明机器人是否持续、及时地行动。</w:t>
      </w:r>
    </w:p>
    <w:p>
      <w:pPr>
        <w:pStyle w:val="Heading2"/>
      </w:pPr>
      <w:r>
        <w:t>转为 PPT 第 27 页</w:t>
      </w:r>
    </w:p>
    <w:p>
      <w:pPr>
        <w:widowControl/>
      </w:pPr>
      <w:r>
        <w:rPr>
          <w:rFonts w:ascii="Arial" w:hAnsi="Arial" w:eastAsia="Hiragino Sans GB"/>
          <w:b w:val="0"/>
          <w:color w:val="000000"/>
        </w:rPr>
        <w:t>保留同步/异步两条时序图、min(L,E)覆盖预算，以及本地profile五项。新增算力数字必须对应固定输入、设备、精度、batch与同步定义。</w:t>
      </w:r>
    </w:p>
    <w:p>
      <w:pPr>
        <w:widowControl/>
      </w:pPr>
      <w:r>
        <w:rPr>
          <w:rFonts w:ascii="Arial" w:hAnsi="Arial" w:eastAsia="Hiragino Sans GB"/>
          <w:b w:val="0"/>
          <w:color w:val="555555"/>
          <w:sz w:val="17"/>
        </w:rPr>
        <w:t>来源 L06、L13、W13–W15；机制研究与工程方案〔E3〕。首token时间与完整可执行结果时刻分别记录。</w:t>
      </w:r>
    </w:p>
    <w:p>
      <w:pPr>
        <w:pStyle w:val="Heading1"/>
        <w:pageBreakBefore/>
      </w:pPr>
      <w:r>
        <w:t>28 VLM JEV VLA 和 WAM 的融合分工</w:t>
      </w:r>
    </w:p>
    <w:p>
      <w:pPr>
        <w:widowControl/>
      </w:pPr>
      <w:r>
        <w:rPr>
          <w:rFonts w:ascii="Arial" w:hAnsi="Arial" w:eastAsia="Hiragino Sans GB"/>
          <w:b w:val="0"/>
          <w:color w:val="000000"/>
        </w:rPr>
        <w:t>融合架构先明确每个模块交付什么结果：VLM理解任务与场景，JEV型选择器在有限候选中决策，VLA产生连续动作，WAM可联合建模视频与动作；本方案先用动作条件预测分支比较后果，价值评分由独立评价头或具备evaluator接口的模型提供。我们从模块化对照开始，再研究共享表示与联合训练。〔E3，研究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896"/>
        <w:gridCol w:w="3586"/>
      </w:tblGrid>
      <w:tr>
        <w:trPr>
          <w:cantSplit/>
          <w:tblHeader/>
        </w:trPr>
        <w:tc>
          <w:tcPr>
            <w:tcW w:type="dxa" w:w="1656"/>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模块</w:t>
            </w:r>
          </w:p>
        </w:tc>
        <w:tc>
          <w:tcPr>
            <w:tcW w:type="dxa" w:w="489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输入与输出</w:t>
            </w:r>
          </w:p>
        </w:tc>
        <w:tc>
          <w:tcPr>
            <w:tcW w:type="dxa" w:w="358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首轮集成位置</w:t>
            </w:r>
          </w:p>
        </w:tc>
      </w:tr>
      <w:tr>
        <w:trPr>
          <w:cantSplit/>
        </w:trPr>
        <w:tc>
          <w:tcPr>
            <w:tcW w:type="dxa" w:w="165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VLM</w:t>
            </w:r>
          </w:p>
        </w:tc>
        <w:tc>
          <w:tcPr>
            <w:tcW w:type="dxa" w:w="489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观测＋任务 → 状态、子目标、异常解释</w:t>
            </w:r>
          </w:p>
        </w:tc>
        <w:tc>
          <w:tcPr>
            <w:tcW w:type="dxa" w:w="358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低频规划与必要升级</w:t>
            </w:r>
          </w:p>
        </w:tc>
      </w:tr>
      <w:tr>
        <w:trPr>
          <w:cantSplit/>
        </w:trPr>
        <w:tc>
          <w:tcPr>
            <w:tcW w:type="dxa" w:w="165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JEV型选择器</w:t>
            </w:r>
          </w:p>
        </w:tc>
        <w:tc>
          <w:tcPr>
            <w:tcW w:type="dxa" w:w="489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状态＋候选 → 选择与分数</w:t>
            </w:r>
          </w:p>
        </w:tc>
        <w:tc>
          <w:tcPr>
            <w:tcW w:type="dxa" w:w="358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继续、换技能、重定位或恢复</w:t>
            </w:r>
          </w:p>
        </w:tc>
      </w:tr>
      <w:tr>
        <w:trPr>
          <w:cantSplit/>
        </w:trPr>
        <w:tc>
          <w:tcPr>
            <w:tcW w:type="dxa" w:w="1656"/>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VLA</w:t>
            </w:r>
          </w:p>
        </w:tc>
        <w:tc>
          <w:tcPr>
            <w:tcW w:type="dxa" w:w="489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观测＋子目标 → 连续动作块</w:t>
            </w:r>
          </w:p>
        </w:tc>
        <w:tc>
          <w:tcPr>
            <w:tcW w:type="dxa" w:w="358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接触技能与连续执行</w:t>
            </w:r>
          </w:p>
        </w:tc>
      </w:tr>
      <w:tr>
        <w:trPr>
          <w:cantSplit/>
        </w:trPr>
        <w:tc>
          <w:tcPr>
            <w:tcW w:type="dxa" w:w="1656"/>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WAM预测/评价</w:t>
            </w:r>
          </w:p>
        </w:tc>
        <w:tc>
          <w:tcPr>
            <w:tcW w:type="dxa" w:w="489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观测＋动作 → 未来状态；评价头输出价值</w:t>
            </w:r>
          </w:p>
        </w:tc>
        <w:tc>
          <w:tcPr>
            <w:tcW w:type="dxa" w:w="358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先shadow预测，再难例分支评估</w:t>
            </w:r>
          </w:p>
        </w:tc>
      </w:tr>
    </w:tbl>
    <w:p>
      <w:pPr>
        <w:spacing w:after="0"/>
      </w:pPr>
    </w:p>
    <w:p>
      <w:pPr>
        <w:widowControl/>
      </w:pPr>
      <w:r>
        <w:rPr>
          <w:rFonts w:ascii="Arial" w:hAnsi="Arial" w:eastAsia="Hiragino Sans GB"/>
          <w:b w:val="0"/>
          <w:color w:val="000000"/>
        </w:rPr>
        <w:t>推荐的首轮结构是：VLM产出子目标，规则或JEV选择技能，VLA与解析控制器执行；WAM作为旁路预测器，在候选难分时比较后果。每个新模块先用离线状态和相同候选验收，再进入在线决策。</w:t>
      </w:r>
    </w:p>
    <w:p>
      <w:pPr>
        <w:widowControl/>
      </w:pPr>
      <w:r>
        <w:rPr>
          <w:rFonts w:ascii="Arial" w:hAnsi="Arial" w:eastAsia="Hiragino Sans GB"/>
          <w:b w:val="0"/>
          <w:color w:val="000000"/>
        </w:rPr>
        <w:t>共享模型方向可参考Motus的understanding、video、action专家，以及Motus2提出的policy、simulator、evaluator接口。统一模型有机会复用表征并让成功与失败转移共同训练动力学和价值，筛选的成功或纠正片段用于动作模仿；模块化结构则更容易定位收益和延迟来源。</w:t>
      </w:r>
    </w:p>
    <w:p>
      <w:pPr>
        <w:widowControl/>
      </w:pPr>
      <w:r>
        <w:rPr>
          <w:rFonts w:ascii="Arial" w:hAnsi="Arial" w:eastAsia="Hiragino Sans GB"/>
          <w:b w:val="0"/>
          <w:color w:val="000000"/>
        </w:rPr>
        <w:t>后训练分别优化：VLM的空间状态与子目标，JEV选择的执行回报，VLA的接触动作，WAM的动作条件后果。联合阶段保留任务成功与世界预测两条评价轴，检查融合带来的迁移收益。</w:t>
      </w:r>
    </w:p>
    <w:p>
      <w:pPr>
        <w:pStyle w:val="Heading2"/>
      </w:pPr>
      <w:r>
        <w:t>转为 PPT 第 28 页</w:t>
      </w:r>
    </w:p>
    <w:p>
      <w:pPr>
        <w:widowControl/>
      </w:pPr>
      <w:r>
        <w:rPr>
          <w:rFonts w:ascii="Arial" w:hAnsi="Arial" w:eastAsia="Hiragino Sans GB"/>
          <w:b w:val="0"/>
          <w:color w:val="000000"/>
        </w:rPr>
        <w:t>保留四模块输入输出图：主路径VLM→选择→执行，WAM旁路连向候选评估和训练。右下比较“模块化先验收”与“统一表示后联合”。</w:t>
      </w:r>
    </w:p>
    <w:p>
      <w:pPr>
        <w:widowControl/>
      </w:pPr>
      <w:r>
        <w:rPr>
          <w:rFonts w:ascii="Arial" w:hAnsi="Arial" w:eastAsia="Hiragino Sans GB"/>
          <w:b w:val="0"/>
          <w:color w:val="555555"/>
          <w:sz w:val="17"/>
        </w:rPr>
        <w:t>来源 L09、L14、W16–W18、W21–W22〔E3〕。Motus2官网仓库为README与开放计划；当前工程使用Motus v1系列发布物。</w:t>
      </w:r>
    </w:p>
    <w:p>
      <w:pPr>
        <w:pStyle w:val="Heading1"/>
        <w:pageBreakBefore/>
      </w:pPr>
      <w:r>
        <w:t>29 Motus 已有工程起点与联合后训练设计</w:t>
      </w:r>
    </w:p>
    <w:p>
      <w:pPr>
        <w:widowControl/>
      </w:pPr>
      <w:r>
        <w:rPr>
          <w:rFonts w:ascii="Arial" w:hAnsi="Arial" w:eastAsia="Hiragino Sans GB"/>
          <w:b w:val="0"/>
          <w:color w:val="000000"/>
        </w:rPr>
        <w:t>本周已经完成完整预训练Motus的双卡FP32工程小训练：约80.6亿参数基座，43,502,271个适配参数参与联合更新，连续10步及断点恢复验证通过。下一阶段从工程可运行推进到正式数据与任务能力评测。〔E3，转引本周工程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58"/>
      </w:tblGrid>
      <w:tr>
        <w:trPr>
          <w:cantSplit/>
          <w:tblHeader/>
        </w:trPr>
        <w:tc>
          <w:tcPr>
            <w:tcW w:type="dxa" w:w="288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工程指标</w:t>
            </w:r>
          </w:p>
        </w:tc>
        <w:tc>
          <w:tcPr>
            <w:tcW w:type="dxa" w:w="725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10月16日记录</w:t>
            </w:r>
          </w:p>
        </w:tc>
      </w:tr>
      <w:tr>
        <w:trPr>
          <w:cantSplit/>
        </w:trPr>
        <w:tc>
          <w:tcPr>
            <w:tcW w:type="dxa" w:w="28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基座 / 训练参数</w:t>
            </w:r>
          </w:p>
        </w:tc>
        <w:tc>
          <w:tcPr>
            <w:tcW w:type="dxa" w:w="72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约8.06B / 43.50M适配参数</w:t>
            </w:r>
          </w:p>
        </w:tc>
      </w:tr>
      <w:tr>
        <w:trPr>
          <w:cantSplit/>
        </w:trPr>
        <w:tc>
          <w:tcPr>
            <w:tcW w:type="dxa" w:w="288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参与更新</w:t>
            </w:r>
          </w:p>
        </w:tc>
        <w:tc>
          <w:tcPr>
            <w:tcW w:type="dxa" w:w="725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VLM语言LoRA、WAN LoRA、Action/Understanding适配器与新IO</w:t>
            </w:r>
          </w:p>
        </w:tc>
      </w:tr>
      <w:tr>
        <w:trPr>
          <w:cantSplit/>
        </w:trPr>
        <w:tc>
          <w:tcPr>
            <w:tcW w:type="dxa" w:w="28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训练与恢复</w:t>
            </w:r>
          </w:p>
        </w:tc>
        <w:tc>
          <w:tcPr>
            <w:tcW w:type="dxa" w:w="72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双卡FP32 10步；step9恢复重做step10一致</w:t>
            </w:r>
          </w:p>
        </w:tc>
      </w:tr>
      <w:tr>
        <w:trPr>
          <w:cantSplit/>
        </w:trPr>
        <w:tc>
          <w:tcPr>
            <w:tcW w:type="dxa" w:w="288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每卡显存峰值</w:t>
            </w:r>
          </w:p>
        </w:tc>
        <w:tc>
          <w:tcPr>
            <w:tcW w:type="dxa" w:w="725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allocated约57.34GiB；reserved约59.47GiB</w:t>
            </w:r>
          </w:p>
        </w:tc>
      </w:tr>
      <w:tr>
        <w:trPr>
          <w:cantSplit/>
        </w:trPr>
        <w:tc>
          <w:tcPr>
            <w:tcW w:type="dxa" w:w="288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当前环境</w:t>
            </w:r>
          </w:p>
        </w:tc>
        <w:tc>
          <w:tcPr>
            <w:tcW w:type="dxa" w:w="725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CANN8.5.2；torch_npu2.7.1.post2</w:t>
            </w:r>
          </w:p>
        </w:tc>
      </w:tr>
    </w:tbl>
    <w:p>
      <w:pPr>
        <w:spacing w:after="0"/>
      </w:pPr>
    </w:p>
    <w:p>
      <w:pPr>
        <w:widowControl/>
      </w:pPr>
      <w:r>
        <w:rPr>
          <w:rFonts w:ascii="Arial" w:hAnsi="Arial" w:eastAsia="Hiragino Sans GB"/>
          <w:b w:val="0"/>
          <w:color w:val="000000"/>
        </w:rPr>
        <w:t>正式实验按四臂展开：A全部参数冻结，使用相同随机采样器；B更新动作与理解连接；C再加入VLM LoRA；D进一步加入WAN LoRA。各臂使用相同暖启动、数据切分和评测初态，比较任务成功、恢复质量、推理延迟和世界预测。</w:t>
      </w:r>
    </w:p>
    <w:p>
      <w:pPr>
        <w:widowControl/>
      </w:pPr>
      <w:r>
        <w:rPr>
          <w:rFonts w:ascii="Arial" w:hAnsi="Arial" w:eastAsia="Hiragino Sans GB"/>
          <w:b w:val="0"/>
          <w:color w:val="000000"/>
        </w:rPr>
        <w:t>先完成数据时间对齐、初态隔离和数值检查，再进行SFT与task RL。RL阶段分别记录任务回报梯度进入哪些模块，使用冻结、detach和零优势检查定位实际贡献；连续flow策略可参考ReinFlow的路径概率处理。</w:t>
      </w:r>
    </w:p>
    <w:p>
      <w:pPr>
        <w:widowControl/>
      </w:pPr>
      <w:r>
        <w:rPr>
          <w:rFonts w:ascii="Arial" w:hAnsi="Arial" w:eastAsia="Hiragino Sans GB"/>
          <w:b w:val="0"/>
          <w:color w:val="000000"/>
        </w:rPr>
        <w:t>工程记录与能力结果分别维护。当前10步验证了参数更新、恢复和显存预算；正式训练将补齐收敛曲线、未见初态、动作成功率和模型间消融。</w:t>
      </w:r>
    </w:p>
    <w:p>
      <w:pPr>
        <w:pStyle w:val="Heading2"/>
      </w:pPr>
      <w:r>
        <w:t>转为 PPT 第 29 页</w:t>
      </w:r>
    </w:p>
    <w:p>
      <w:pPr>
        <w:widowControl/>
      </w:pPr>
      <w:r>
        <w:rPr>
          <w:rFonts w:ascii="Arial" w:hAnsi="Arial" w:eastAsia="Hiragino Sans GB"/>
          <w:b w:val="0"/>
          <w:color w:val="000000"/>
        </w:rPr>
        <w:t>保留8.06B、43.50M、10步、57.34/59.47GiB四项工程数据，以及A–D训练臂图。最后列下一阶段交付：数据冻结、SFT基线、task RL与闭环结果。</w:t>
      </w:r>
    </w:p>
    <w:p>
      <w:pPr>
        <w:widowControl/>
      </w:pPr>
      <w:r>
        <w:rPr>
          <w:rFonts w:ascii="Arial" w:hAnsi="Arial" w:eastAsia="Hiragino Sans GB"/>
          <w:b w:val="0"/>
          <w:color w:val="555555"/>
          <w:sz w:val="17"/>
        </w:rPr>
        <w:t>来源 L14–L16、W16–W19〔E3〕。工程数据来自最新周索引；draft切分、BF16数值和正式验收项继续处理。</w:t>
      </w:r>
    </w:p>
    <w:p>
      <w:pPr>
        <w:pStyle w:val="Heading1"/>
        <w:pageBreakBefore/>
      </w:pPr>
      <w:r>
        <w:t>30 下一轮实验按三个层面形成结果闭环</w:t>
      </w:r>
    </w:p>
    <w:p>
      <w:pPr>
        <w:widowControl/>
      </w:pPr>
      <w:r>
        <w:rPr>
          <w:rFonts w:ascii="Arial" w:hAnsi="Arial" w:eastAsia="Hiragino Sans GB"/>
          <w:b w:val="0"/>
          <w:color w:val="000000"/>
        </w:rPr>
        <w:t>下一轮工作以三个独立主轴推进：训练提高有效决策，Harness减少无进展往返，算力与调度缩短动作等待。每个轴先固定其余两层，再组合表现最好的配置。〔E3，实验设计〕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3946"/>
      </w:tblGrid>
      <w:tr>
        <w:trPr>
          <w:cantSplit/>
          <w:tblHeader/>
        </w:trPr>
        <w:tc>
          <w:tcPr>
            <w:tcW w:type="dxa" w:w="172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实验轴</w:t>
            </w:r>
          </w:p>
        </w:tc>
        <w:tc>
          <w:tcPr>
            <w:tcW w:type="dxa" w:w="446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最小对照</w:t>
            </w:r>
          </w:p>
        </w:tc>
        <w:tc>
          <w:tcPr>
            <w:tcW w:type="dxa" w:w="394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最终应交付的结果</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模型能力</w:t>
            </w:r>
          </w:p>
        </w:tc>
        <w:tc>
          <w:tcPr>
            <w:tcW w:type="dxa" w:w="446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基座→空间/状态SFT→蒸馏→高层RL</w:t>
            </w:r>
          </w:p>
        </w:tc>
        <w:tc>
          <w:tcPr>
            <w:tcW w:type="dxa" w:w="394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成功、假抓持/假完成、恢复、调用与时延</w:t>
            </w:r>
          </w:p>
        </w:tc>
      </w:tr>
      <w:tr>
        <w:trPr>
          <w:cantSplit/>
        </w:trPr>
        <w:tc>
          <w:tcPr>
            <w:tcW w:type="dxa" w:w="172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Harness</w:t>
            </w:r>
          </w:p>
        </w:tc>
        <w:tc>
          <w:tcPr>
            <w:tcW w:type="dxa" w:w="446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当前→验收→局部恢复→复合技能→事件触发</w:t>
            </w:r>
          </w:p>
        </w:tc>
        <w:tc>
          <w:tcPr>
            <w:tcW w:type="dxa" w:w="394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阶段成功、N、恢复成本、输入与动作量</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单次请求</w:t>
            </w:r>
          </w:p>
        </w:tc>
        <w:tc>
          <w:tcPr>
            <w:tcW w:type="dxa" w:w="446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同体交错low/medium；冷暖缓存分层</w:t>
            </w:r>
          </w:p>
        </w:tc>
        <w:tc>
          <w:tcPr>
            <w:tcW w:type="dxa" w:w="394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正确动作、完整时延、TTFT、输出与Token</w:t>
            </w:r>
          </w:p>
        </w:tc>
      </w:tr>
      <w:tr>
        <w:trPr>
          <w:cantSplit/>
        </w:trPr>
        <w:tc>
          <w:tcPr>
            <w:tcW w:type="dxa" w:w="172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连续执行</w:t>
            </w:r>
          </w:p>
        </w:tc>
        <w:tc>
          <w:tcPr>
            <w:tcW w:type="dxa" w:w="446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K扫描；同步/异步；受控延迟注入</w:t>
            </w:r>
          </w:p>
        </w:tc>
        <w:tc>
          <w:tcPr>
            <w:tcW w:type="dxa" w:w="394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成功、AoI、停顿、deadline miss、关键路径</w:t>
            </w:r>
          </w:p>
        </w:tc>
      </w:tr>
      <w:tr>
        <w:trPr>
          <w:cantSplit/>
        </w:trPr>
        <w:tc>
          <w:tcPr>
            <w:tcW w:type="dxa" w:w="172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融合后训练</w:t>
            </w:r>
          </w:p>
        </w:tc>
        <w:tc>
          <w:tcPr>
            <w:tcW w:type="dxa" w:w="446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模块化选择器/WAM旁路；Motus A–D</w:t>
            </w:r>
          </w:p>
        </w:tc>
        <w:tc>
          <w:tcPr>
            <w:tcW w:type="dxa" w:w="394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模块增益、任务成功、预测质量与总算力</w:t>
            </w:r>
          </w:p>
        </w:tc>
      </w:tr>
    </w:tbl>
    <w:p>
      <w:pPr>
        <w:spacing w:after="0"/>
      </w:pPr>
    </w:p>
    <w:p>
      <w:pPr>
        <w:widowControl/>
      </w:pPr>
      <w:r>
        <w:rPr>
          <w:rFonts w:ascii="Arial" w:hAnsi="Arial" w:eastAsia="Hiragino Sans GB"/>
          <w:b w:val="0"/>
          <w:color w:val="000000"/>
        </w:rPr>
        <w:t>统一结果表包含：任务与seed、模型/配置、成功数与总数、请求逻辑数与attempt数、工具与动作块数、完整请求p50/p95、TTFT、TPOT代理、可见thinking、渲染、π、恢复、整集时间和显存。全部回合与共同成功配对并列，任务质量和性能同时呈现。</w:t>
      </w:r>
    </w:p>
    <w:p>
      <w:pPr>
        <w:widowControl/>
      </w:pPr>
      <w:r>
        <w:rPr>
          <w:rFonts w:ascii="Arial" w:hAnsi="Arial" w:eastAsia="Hiragino Sans GB"/>
          <w:b w:val="0"/>
          <w:color w:val="000000"/>
        </w:rPr>
        <w:t>实验顺序为固定状态微基准、配对闭环、未见初态与任务、目标部署。开发集选择提示、预算和阈值，测试集冻结；先约定可接受的质量变化，再以成功率差和配对置信区间判断效率方案。</w:t>
      </w:r>
    </w:p>
    <w:p>
      <w:pPr>
        <w:widowControl/>
      </w:pPr>
      <w:r>
        <w:rPr>
          <w:rFonts w:ascii="Arial" w:hAnsi="Arial" w:eastAsia="Hiragino Sans GB"/>
          <w:b w:val="0"/>
          <w:color w:val="000000"/>
        </w:rPr>
        <w:t>最终希望得到三个清楚的答案：哪些空间与恢复能力值得训练；哪些高层调用可以移到本地技能；VLM、VLA与预测模块在什么延迟预算下协作最有效。每项答案都对应一张结果表和一个可复现实验。</w:t>
      </w:r>
    </w:p>
    <w:p>
      <w:pPr>
        <w:pStyle w:val="Heading2"/>
      </w:pPr>
      <w:r>
        <w:t>转为 PPT 第 30 页</w:t>
      </w:r>
    </w:p>
    <w:p>
      <w:pPr>
        <w:widowControl/>
      </w:pPr>
      <w:r>
        <w:rPr>
          <w:rFonts w:ascii="Arial" w:hAnsi="Arial" w:eastAsia="Hiragino Sans GB"/>
          <w:b w:val="0"/>
          <w:color w:val="000000"/>
        </w:rPr>
        <w:t>保留五行实验矩阵与统一结果表字段。作为收尾页只讲下一轮要交付的证据，不预设low think、JEV或联合架构的最终胜者。</w:t>
      </w:r>
    </w:p>
    <w:p>
      <w:pPr>
        <w:widowControl/>
      </w:pPr>
      <w:r>
        <w:rPr>
          <w:rFonts w:ascii="Arial" w:hAnsi="Arial" w:eastAsia="Hiragino Sans GB"/>
          <w:b w:val="0"/>
          <w:color w:val="555555"/>
          <w:sz w:val="17"/>
        </w:rPr>
        <w:t>来源 本报告综合实验设计〔E3〕。拟定样本规模后报告配对区间；实验臂、判据与阈值在运行前冻结。</w:t>
      </w:r>
    </w:p>
    <w:p>
      <w:pPr>
        <w:pStyle w:val="Heading1"/>
        <w:pageBreakBefore/>
      </w:pPr>
      <w:r>
        <w:t>附录 A 正式 120 集分布和调用量</w:t>
      </w:r>
    </w:p>
    <w:p>
      <w:pPr>
        <w:widowControl/>
      </w:pPr>
      <w:r>
        <w:rPr>
          <w:rFonts w:ascii="Arial" w:hAnsi="Arial" w:eastAsia="Hiragino Sans GB"/>
          <w:b w:val="0"/>
          <w:color w:val="000000"/>
        </w:rPr>
        <w:t>每行20集，成功采用环境终态；响应数为独立计量响应。以下均由公开runtime-ledger复算〔E3〕。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936"/>
        <w:gridCol w:w="1656"/>
        <w:gridCol w:w="1656"/>
        <w:gridCol w:w="1728"/>
        <w:gridCol w:w="1570"/>
      </w:tblGrid>
      <w:tr>
        <w:trPr>
          <w:cantSplit/>
          <w:tblHeader/>
        </w:trPr>
        <w:tc>
          <w:tcPr>
            <w:tcW w:type="dxa" w:w="259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套件 / 模型</w:t>
            </w:r>
          </w:p>
        </w:tc>
        <w:tc>
          <w:tcPr>
            <w:tcW w:type="dxa" w:w="93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成功</w:t>
            </w:r>
          </w:p>
        </w:tc>
        <w:tc>
          <w:tcPr>
            <w:tcW w:type="dxa" w:w="16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均值 s</w:t>
            </w:r>
          </w:p>
        </w:tc>
        <w:tc>
          <w:tcPr>
            <w:tcW w:type="dxa" w:w="16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p50 s</w:t>
            </w:r>
          </w:p>
        </w:tc>
        <w:tc>
          <w:tcPr>
            <w:tcW w:type="dxa" w:w="172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p95 s</w:t>
            </w:r>
          </w:p>
        </w:tc>
        <w:tc>
          <w:tcPr>
            <w:tcW w:type="dxa" w:w="157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平均响应</w:t>
            </w:r>
          </w:p>
        </w:tc>
      </w:tr>
      <w:tr>
        <w:trPr>
          <w:cantSplit/>
        </w:trPr>
        <w:tc>
          <w:tcPr>
            <w:tcW w:type="dxa" w:w="25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S-task / astra</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19/20</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787.42</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676.85</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1,134.41</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32.00</w:t>
            </w:r>
          </w:p>
        </w:tc>
      </w:tr>
      <w:tr>
        <w:trPr>
          <w:cantSplit/>
        </w:trPr>
        <w:tc>
          <w:tcPr>
            <w:tcW w:type="dxa" w:w="25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S-swap / astra</w:t>
            </w:r>
          </w:p>
        </w:tc>
        <w:tc>
          <w:tcPr>
            <w:tcW w:type="dxa" w:w="9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20/20</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586.92</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560.05</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801.08</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28.95</w:t>
            </w:r>
          </w:p>
        </w:tc>
      </w:tr>
      <w:tr>
        <w:trPr>
          <w:cantSplit/>
        </w:trPr>
        <w:tc>
          <w:tcPr>
            <w:tcW w:type="dxa" w:w="25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10_swap / astra</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11/20</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973.72</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919.45</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1,845.14</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44.65</w:t>
            </w:r>
          </w:p>
        </w:tc>
      </w:tr>
      <w:tr>
        <w:trPr>
          <w:cantSplit/>
        </w:trPr>
        <w:tc>
          <w:tcPr>
            <w:tcW w:type="dxa" w:w="25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S-task / sol</w:t>
            </w:r>
          </w:p>
        </w:tc>
        <w:tc>
          <w:tcPr>
            <w:tcW w:type="dxa" w:w="9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17/20</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1,248.62</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811.60</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3,888.39</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43.20</w:t>
            </w:r>
          </w:p>
        </w:tc>
      </w:tr>
      <w:tr>
        <w:trPr>
          <w:cantSplit/>
        </w:trPr>
        <w:tc>
          <w:tcPr>
            <w:tcW w:type="dxa" w:w="25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S-swap / sol</w:t>
            </w:r>
          </w:p>
        </w:tc>
        <w:tc>
          <w:tcPr>
            <w:tcW w:type="dxa" w:w="93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20/20</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943.69</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828.85</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1,674.90</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43.25</w:t>
            </w:r>
          </w:p>
        </w:tc>
      </w:tr>
      <w:tr>
        <w:trPr>
          <w:cantSplit/>
        </w:trPr>
        <w:tc>
          <w:tcPr>
            <w:tcW w:type="dxa" w:w="25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10_swap / sol</w:t>
            </w:r>
          </w:p>
        </w:tc>
        <w:tc>
          <w:tcPr>
            <w:tcW w:type="dxa" w:w="93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12/20</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1,630.06</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1,332.75</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2,565.85</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58.65</w:t>
            </w:r>
          </w:p>
        </w:tc>
      </w:tr>
    </w:tbl>
    <w:p>
      <w:pPr>
        <w:spacing w:after="0"/>
      </w:pPr>
    </w:p>
    <w:p>
      <w:pPr>
        <w:widowControl/>
      </w:pPr>
      <w:r>
        <w:rPr>
          <w:rFonts w:ascii="Arial" w:hAnsi="Arial" w:eastAsia="Hiragino Sans GB"/>
          <w:b w:val="0"/>
          <w:color w:val="000000"/>
        </w:rPr>
        <w:t>Spatial Swap的平均计量响应从Sol的43.25到Astra的28.95，减少33.06%，与整集耗时下降37.81%同时出现。以相同成功任务分析调用路径，是训练和Harness优化的共同入口。</w:t>
      </w:r>
    </w:p>
    <w:p>
      <w:pPr>
        <w:widowControl/>
      </w:pPr>
      <w:r>
        <w:rPr>
          <w:rFonts w:ascii="Arial" w:hAnsi="Arial" w:eastAsia="Hiragino Sans GB"/>
          <w:b w:val="0"/>
          <w:color w:val="000000"/>
        </w:rPr>
        <w:t>集外加载累计20817.6秒，单集中位164.9秒；常驻服务的收益计入批次启动与吞吐。深测另有两次SAM OOM尝试累计3205.20秒，加载326.209秒单列。</w:t>
      </w:r>
    </w:p>
    <w:p>
      <w:pPr>
        <w:widowControl/>
      </w:pPr>
      <w:r>
        <w:rPr>
          <w:rFonts w:ascii="Arial" w:hAnsi="Arial" w:eastAsia="Hiragino Sans GB"/>
          <w:b w:val="0"/>
          <w:color w:val="000000"/>
        </w:rPr>
        <w:t>转PPT建议：主文第6、10、15页保留成功数、均值和配对结论；本表作为备份页，现场追问长尾时展示p95与平均响应。</w:t>
      </w:r>
    </w:p>
    <w:p>
      <w:pPr>
        <w:widowControl/>
      </w:pPr>
      <w:r>
        <w:rPr>
          <w:rFonts w:ascii="Arial" w:hAnsi="Arial" w:eastAsia="Hiragino Sans GB"/>
          <w:b w:val="0"/>
          <w:color w:val="555555"/>
          <w:sz w:val="17"/>
        </w:rPr>
        <w:t>来源 L05、L06及本次复算。分位数按线性插值；工作量不等于并行运行日历时间。</w:t>
      </w:r>
    </w:p>
    <w:p>
      <w:pPr>
        <w:pStyle w:val="Heading1"/>
        <w:pageBreakBefore/>
      </w:pPr>
      <w:r>
        <w:t>附录 B DeepSeek 原始非流式逐集数据</w:t>
      </w:r>
    </w:p>
    <w:p>
      <w:pPr>
        <w:widowControl/>
      </w:pPr>
      <w:r>
        <w:rPr>
          <w:rFonts w:ascii="Arial" w:hAnsi="Arial" w:eastAsia="Hiragino Sans GB"/>
          <w:b w:val="0"/>
          <w:color w:val="000000"/>
        </w:rPr>
        <w:t>任务身份t0/t9×seed0/1；每个身份分别使用medium与none。结果按当批recipe记录，退出状态另保留。〔E3〕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008"/>
        <w:gridCol w:w="1728"/>
        <w:gridCol w:w="2088"/>
        <w:gridCol w:w="3154"/>
      </w:tblGrid>
      <w:tr>
        <w:trPr>
          <w:cantSplit/>
          <w:tblHeader/>
        </w:trPr>
        <w:tc>
          <w:tcPr>
            <w:tcW w:type="dxa" w:w="216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身份 / 档位</w:t>
            </w:r>
          </w:p>
        </w:tc>
        <w:tc>
          <w:tcPr>
            <w:tcW w:type="dxa" w:w="100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结果</w:t>
            </w:r>
          </w:p>
        </w:tc>
        <w:tc>
          <w:tcPr>
            <w:tcW w:type="dxa" w:w="172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回合 s</w:t>
            </w:r>
          </w:p>
        </w:tc>
        <w:tc>
          <w:tcPr>
            <w:tcW w:type="dxa" w:w="208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逻辑 / 响应</w:t>
            </w:r>
          </w:p>
        </w:tc>
        <w:tc>
          <w:tcPr>
            <w:tcW w:type="dxa" w:w="315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请求p50 / p95 s</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medium</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1,000.9</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 / 26</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17.066 / 33.243</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medium</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966.8</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27 / 27</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17.628 / 35.030</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medium</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失败</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3,254.9</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67 / 67</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24.554 / 50.810</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medium</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失败</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3,239.4</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54 / 54</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27.460 / 75.628</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none</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1,432.6</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46 / 46</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14.641 / 49.761</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none</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769.7</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 / 26</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11.986 / 18.265</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none</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未完成</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424.4</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 / 17</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7.129 / 34.118</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none</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未完成</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1,990.8</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 / 43</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19.406 / 37.073</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160"/>
        <w:gridCol w:w="2016"/>
        <w:gridCol w:w="2088"/>
        <w:gridCol w:w="1570"/>
      </w:tblGrid>
      <w:tr>
        <w:trPr>
          <w:cantSplit/>
          <w:tblHeader/>
        </w:trPr>
        <w:tc>
          <w:tcPr>
            <w:tcW w:type="dxa" w:w="2304"/>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身份 / 档位</w:t>
            </w:r>
          </w:p>
        </w:tc>
        <w:tc>
          <w:tcPr>
            <w:tcW w:type="dxa" w:w="216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input Token</w:t>
            </w:r>
          </w:p>
        </w:tc>
        <w:tc>
          <w:tcPr>
            <w:tcW w:type="dxa" w:w="201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output Token</w:t>
            </w:r>
          </w:p>
        </w:tc>
        <w:tc>
          <w:tcPr>
            <w:tcW w:type="dxa" w:w="208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reasoning Token</w:t>
            </w:r>
          </w:p>
        </w:tc>
        <w:tc>
          <w:tcPr>
            <w:tcW w:type="dxa" w:w="157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工具调用</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medium</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1165508</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21276</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14553</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46</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medium</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1507624</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34790</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26066</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78</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medium</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8710931</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134448</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121909</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119</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medium</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7673024</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137306</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124580</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123</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none</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2699060</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34382</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102</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none</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1030200</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9477</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51</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none</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608109</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15807</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44</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none</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2689346</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46299</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84</w:t>
            </w:r>
          </w:p>
        </w:tc>
      </w:tr>
    </w:tbl>
    <w:p>
      <w:pPr>
        <w:spacing w:after="0"/>
      </w:pPr>
    </w:p>
    <w:p>
      <w:pPr>
        <w:widowControl/>
      </w:pPr>
      <w:r>
        <w:rPr>
          <w:rFonts w:ascii="Arial" w:hAnsi="Arial" w:eastAsia="Hiragino Sans GB"/>
          <w:b w:val="0"/>
          <w:color w:val="000000"/>
        </w:rPr>
        <w:t>转PPT建议：主文第18页保留两对共同成功的比较；完整八集表放备份页。对t9同时展示退出方式与已完成阶段。</w:t>
      </w:r>
    </w:p>
    <w:p>
      <w:pPr>
        <w:widowControl/>
      </w:pPr>
      <w:r>
        <w:rPr>
          <w:rFonts w:ascii="Arial" w:hAnsi="Arial" w:eastAsia="Hiragino Sans GB"/>
          <w:b w:val="0"/>
          <w:color w:val="555555"/>
          <w:sz w:val="17"/>
        </w:rPr>
        <w:t>来源 L07；input按逐请求累计，reasoning包含于output。原非流式另有一次transport retry；流式的失败attempt保留在完整请求统计中。</w:t>
      </w:r>
    </w:p>
    <w:p>
      <w:pPr>
        <w:pStyle w:val="Heading1"/>
        <w:pageBreakBefore/>
      </w:pPr>
      <w:r>
        <w:t>附录 B DeepSeek 流式补测逐集数据</w:t>
      </w:r>
    </w:p>
    <w:p>
      <w:pPr>
        <w:widowControl/>
      </w:pPr>
      <w:r>
        <w:rPr>
          <w:rFonts w:ascii="Arial" w:hAnsi="Arial" w:eastAsia="Hiragino Sans GB"/>
          <w:b w:val="0"/>
          <w:color w:val="000000"/>
        </w:rPr>
        <w:t>任务身份t0/t9×seed0/1；每个身份分别使用medium与none。结果按当批recipe记录，退出状态另保留。〔E3〕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008"/>
        <w:gridCol w:w="1728"/>
        <w:gridCol w:w="2088"/>
        <w:gridCol w:w="3154"/>
      </w:tblGrid>
      <w:tr>
        <w:trPr>
          <w:cantSplit/>
          <w:tblHeader/>
        </w:trPr>
        <w:tc>
          <w:tcPr>
            <w:tcW w:type="dxa" w:w="2160"/>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身份 / 档位</w:t>
            </w:r>
          </w:p>
        </w:tc>
        <w:tc>
          <w:tcPr>
            <w:tcW w:type="dxa" w:w="100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结果</w:t>
            </w:r>
          </w:p>
        </w:tc>
        <w:tc>
          <w:tcPr>
            <w:tcW w:type="dxa" w:w="172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回合 s</w:t>
            </w:r>
          </w:p>
        </w:tc>
        <w:tc>
          <w:tcPr>
            <w:tcW w:type="dxa" w:w="208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逻辑 / 响应</w:t>
            </w:r>
          </w:p>
        </w:tc>
        <w:tc>
          <w:tcPr>
            <w:tcW w:type="dxa" w:w="315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请求p50 / p95 s</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medium</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1,497.8</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 / 37</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20.721 / 44.838</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medium</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828.9</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 / 27</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13.774 / 20.832</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medium</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崩溃</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303.6</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 / 15</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9.793 / 36.937</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medium</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崩溃</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298.4</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 / 11</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17.282 / 61.784</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none</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1,043.1</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31 / 31</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12.340 / 23.225</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none</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成功</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805.1</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26 / 26</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11.909 / 16.349</w:t>
            </w:r>
          </w:p>
        </w:tc>
      </w:tr>
      <w:tr>
        <w:trPr>
          <w:cantSplit/>
        </w:trPr>
        <w:tc>
          <w:tcPr>
            <w:tcW w:type="dxa" w:w="2160"/>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none</w:t>
            </w:r>
          </w:p>
        </w:tc>
        <w:tc>
          <w:tcPr>
            <w:tcW w:type="dxa" w:w="100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未完成</w:t>
            </w:r>
          </w:p>
        </w:tc>
        <w:tc>
          <w:tcPr>
            <w:tcW w:type="dxa" w:w="172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172.6</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 / 14</w:t>
            </w:r>
          </w:p>
        </w:tc>
        <w:tc>
          <w:tcPr>
            <w:tcW w:type="dxa" w:w="315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6.826 / 16.678</w:t>
            </w:r>
          </w:p>
        </w:tc>
      </w:tr>
      <w:tr>
        <w:trPr>
          <w:cantSplit/>
        </w:trPr>
        <w:tc>
          <w:tcPr>
            <w:tcW w:type="dxa" w:w="2160"/>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none</w:t>
            </w:r>
          </w:p>
        </w:tc>
        <w:tc>
          <w:tcPr>
            <w:tcW w:type="dxa" w:w="100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未完成</w:t>
            </w:r>
          </w:p>
        </w:tc>
        <w:tc>
          <w:tcPr>
            <w:tcW w:type="dxa" w:w="172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347.4</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 / 17</w:t>
            </w:r>
          </w:p>
        </w:tc>
        <w:tc>
          <w:tcPr>
            <w:tcW w:type="dxa" w:w="315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9.065 / 38.664</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160"/>
        <w:gridCol w:w="2016"/>
        <w:gridCol w:w="2088"/>
        <w:gridCol w:w="1570"/>
      </w:tblGrid>
      <w:tr>
        <w:trPr>
          <w:cantSplit/>
          <w:tblHeader/>
        </w:trPr>
        <w:tc>
          <w:tcPr>
            <w:tcW w:type="dxa" w:w="2304"/>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身份 / 档位</w:t>
            </w:r>
          </w:p>
        </w:tc>
        <w:tc>
          <w:tcPr>
            <w:tcW w:type="dxa" w:w="216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input Token</w:t>
            </w:r>
          </w:p>
        </w:tc>
        <w:tc>
          <w:tcPr>
            <w:tcW w:type="dxa" w:w="201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output Token</w:t>
            </w:r>
          </w:p>
        </w:tc>
        <w:tc>
          <w:tcPr>
            <w:tcW w:type="dxa" w:w="2088"/>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reasoning Token</w:t>
            </w:r>
          </w:p>
        </w:tc>
        <w:tc>
          <w:tcPr>
            <w:tcW w:type="dxa" w:w="157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工具调用</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medium</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2860042</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38858</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30162</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80</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medium</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1239193</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22977</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15456</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63</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medium</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627052</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20304</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17179</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48</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medium</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557028</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27414</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23484</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60</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t0_s0 / none</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1352875</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15119</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62</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t0_s1 / none</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1015692</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8251</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52</w:t>
            </w:r>
          </w:p>
        </w:tc>
      </w:tr>
      <w:tr>
        <w:trPr>
          <w:cantSplit/>
        </w:trPr>
        <w:tc>
          <w:tcPr>
            <w:tcW w:type="dxa" w:w="2304"/>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t9_s0 / none</w:t>
            </w:r>
          </w:p>
        </w:tc>
        <w:tc>
          <w:tcPr>
            <w:tcW w:type="dxa" w:w="216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446189</w:t>
            </w:r>
          </w:p>
        </w:tc>
        <w:tc>
          <w:tcPr>
            <w:tcW w:type="dxa" w:w="201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9512</w:t>
            </w:r>
          </w:p>
        </w:tc>
        <w:tc>
          <w:tcPr>
            <w:tcW w:type="dxa" w:w="2088"/>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w:t>
            </w:r>
          </w:p>
        </w:tc>
      </w:tr>
      <w:tr>
        <w:trPr>
          <w:cantSplit/>
        </w:trPr>
        <w:tc>
          <w:tcPr>
            <w:tcW w:type="dxa" w:w="2304"/>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t9_s1 / none</w:t>
            </w:r>
          </w:p>
        </w:tc>
        <w:tc>
          <w:tcPr>
            <w:tcW w:type="dxa" w:w="216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633602</w:t>
            </w:r>
          </w:p>
        </w:tc>
        <w:tc>
          <w:tcPr>
            <w:tcW w:type="dxa" w:w="201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20050</w:t>
            </w:r>
          </w:p>
        </w:tc>
        <w:tc>
          <w:tcPr>
            <w:tcW w:type="dxa" w:w="2088"/>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w:t>
            </w:r>
          </w:p>
        </w:tc>
        <w:tc>
          <w:tcPr>
            <w:tcW w:type="dxa" w:w="157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56</w:t>
            </w:r>
          </w:p>
        </w:tc>
      </w:tr>
    </w:tbl>
    <w:p>
      <w:pPr>
        <w:spacing w:after="0"/>
      </w:pPr>
    </w:p>
    <w:p>
      <w:pPr>
        <w:widowControl/>
      </w:pPr>
      <w:r>
        <w:rPr>
          <w:rFonts w:ascii="Arial" w:hAnsi="Arial" w:eastAsia="Hiragino Sans GB"/>
          <w:b w:val="0"/>
          <w:color w:val="000000"/>
        </w:rPr>
        <w:t>转PPT建议：主文第18页保留两对共同成功的比较；完整八集表放备份页。对t9同时展示退出方式与已完成阶段。</w:t>
      </w:r>
    </w:p>
    <w:p>
      <w:pPr>
        <w:widowControl/>
      </w:pPr>
      <w:r>
        <w:rPr>
          <w:rFonts w:ascii="Arial" w:hAnsi="Arial" w:eastAsia="Hiragino Sans GB"/>
          <w:b w:val="0"/>
          <w:color w:val="555555"/>
          <w:sz w:val="17"/>
        </w:rPr>
        <w:t>来源 L07；input按逐请求累计，reasoning包含于output。原非流式另有一次transport retry；流式的失败attempt保留在完整请求统计中。</w:t>
      </w:r>
    </w:p>
    <w:p>
      <w:pPr>
        <w:pStyle w:val="Heading1"/>
        <w:pageBreakBefore/>
      </w:pPr>
      <w:r>
        <w:t>附录 C DeepSeek 代理单局并列</w:t>
      </w:r>
    </w:p>
    <w:p>
      <w:pPr>
        <w:widowControl/>
      </w:pPr>
      <w:r>
        <w:rPr>
          <w:rFonts w:ascii="Arial" w:hAnsi="Arial" w:eastAsia="Hiragino Sans GB"/>
          <w:b w:val="0"/>
          <w:color w:val="000000"/>
        </w:rPr>
        <w:t>同一Object Swap任务身份的不同运行，按原运行名分别列示。表用于观察瓶颈分布与筛选下一轮A/B因素。〔E3〕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792"/>
        <w:gridCol w:w="1296"/>
        <w:gridCol w:w="1872"/>
        <w:gridCol w:w="1656"/>
        <w:gridCol w:w="1714"/>
      </w:tblGrid>
      <w:tr>
        <w:trPr>
          <w:cantSplit/>
          <w:tblHeader/>
        </w:trPr>
        <w:tc>
          <w:tcPr>
            <w:tcW w:type="dxa" w:w="2808"/>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运行名</w:t>
            </w:r>
          </w:p>
        </w:tc>
        <w:tc>
          <w:tcPr>
            <w:tcW w:type="dxa" w:w="79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请求数</w:t>
            </w:r>
          </w:p>
        </w:tc>
        <w:tc>
          <w:tcPr>
            <w:tcW w:type="dxa" w:w="129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回合 s</w:t>
            </w:r>
          </w:p>
        </w:tc>
        <w:tc>
          <w:tcPr>
            <w:tcW w:type="dxa" w:w="187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请求累计 s</w:t>
            </w:r>
          </w:p>
        </w:tc>
        <w:tc>
          <w:tcPr>
            <w:tcW w:type="dxa" w:w="1656"/>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TTFT p50 s</w:t>
            </w:r>
          </w:p>
        </w:tc>
        <w:tc>
          <w:tcPr>
            <w:tcW w:type="dxa" w:w="171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TPOT p50 ms</w:t>
            </w:r>
          </w:p>
        </w:tc>
      </w:tr>
      <w:tr>
        <w:trPr>
          <w:cantSplit/>
        </w:trPr>
        <w:tc>
          <w:tcPr>
            <w:tcW w:type="dxa" w:w="280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ds_repro_t2s0</w:t>
            </w:r>
          </w:p>
        </w:tc>
        <w:tc>
          <w:tcPr>
            <w:tcW w:type="dxa" w:w="79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w:t>
            </w:r>
          </w:p>
        </w:tc>
        <w:tc>
          <w:tcPr>
            <w:tcW w:type="dxa" w:w="129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363.4</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272.511</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10.280</w:t>
            </w:r>
          </w:p>
        </w:tc>
        <w:tc>
          <w:tcPr>
            <w:tcW w:type="dxa" w:w="171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4.908</w:t>
            </w:r>
          </w:p>
        </w:tc>
      </w:tr>
      <w:tr>
        <w:trPr>
          <w:cantSplit/>
        </w:trPr>
        <w:tc>
          <w:tcPr>
            <w:tcW w:type="dxa" w:w="280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ds_repro_t2s0_v2</w:t>
            </w:r>
          </w:p>
        </w:tc>
        <w:tc>
          <w:tcPr>
            <w:tcW w:type="dxa" w:w="79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29</w:t>
            </w:r>
          </w:p>
        </w:tc>
        <w:tc>
          <w:tcPr>
            <w:tcW w:type="dxa" w:w="129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958.6</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641.457</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11.612</w:t>
            </w:r>
          </w:p>
        </w:tc>
        <w:tc>
          <w:tcPr>
            <w:tcW w:type="dxa" w:w="171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5.019</w:t>
            </w:r>
          </w:p>
        </w:tc>
      </w:tr>
      <w:tr>
        <w:trPr>
          <w:cantSplit/>
        </w:trPr>
        <w:tc>
          <w:tcPr>
            <w:tcW w:type="dxa" w:w="280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ds_repro_t2s0_v5</w:t>
            </w:r>
          </w:p>
        </w:tc>
        <w:tc>
          <w:tcPr>
            <w:tcW w:type="dxa" w:w="79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w:t>
            </w:r>
          </w:p>
        </w:tc>
        <w:tc>
          <w:tcPr>
            <w:tcW w:type="dxa" w:w="129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310.0</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216.176</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6.369</w:t>
            </w:r>
          </w:p>
        </w:tc>
        <w:tc>
          <w:tcPr>
            <w:tcW w:type="dxa" w:w="171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4.157</w:t>
            </w:r>
          </w:p>
        </w:tc>
      </w:tr>
      <w:tr>
        <w:trPr>
          <w:cantSplit/>
        </w:trPr>
        <w:tc>
          <w:tcPr>
            <w:tcW w:type="dxa" w:w="280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ds_strip_t2s0</w:t>
            </w:r>
          </w:p>
        </w:tc>
        <w:tc>
          <w:tcPr>
            <w:tcW w:type="dxa" w:w="79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w:t>
            </w:r>
          </w:p>
        </w:tc>
        <w:tc>
          <w:tcPr>
            <w:tcW w:type="dxa" w:w="129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169.6</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70.511</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2.028</w:t>
            </w:r>
          </w:p>
        </w:tc>
        <w:tc>
          <w:tcPr>
            <w:tcW w:type="dxa" w:w="171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3.543</w:t>
            </w:r>
          </w:p>
        </w:tc>
      </w:tr>
      <w:tr>
        <w:trPr>
          <w:cantSplit/>
        </w:trPr>
        <w:tc>
          <w:tcPr>
            <w:tcW w:type="dxa" w:w="280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ds_stream_conv</w:t>
            </w:r>
          </w:p>
        </w:tc>
        <w:tc>
          <w:tcPr>
            <w:tcW w:type="dxa" w:w="79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w:t>
            </w:r>
          </w:p>
        </w:tc>
        <w:tc>
          <w:tcPr>
            <w:tcW w:type="dxa" w:w="129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165.4</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78.176</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1.210</w:t>
            </w:r>
          </w:p>
        </w:tc>
        <w:tc>
          <w:tcPr>
            <w:tcW w:type="dxa" w:w="171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3.898</w:t>
            </w:r>
          </w:p>
        </w:tc>
      </w:tr>
      <w:tr>
        <w:trPr>
          <w:cantSplit/>
        </w:trPr>
        <w:tc>
          <w:tcPr>
            <w:tcW w:type="dxa" w:w="280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ds_strip_final</w:t>
            </w:r>
          </w:p>
        </w:tc>
        <w:tc>
          <w:tcPr>
            <w:tcW w:type="dxa" w:w="79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w:t>
            </w:r>
          </w:p>
        </w:tc>
        <w:tc>
          <w:tcPr>
            <w:tcW w:type="dxa" w:w="129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151.7</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63.659</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1.512</w:t>
            </w:r>
          </w:p>
        </w:tc>
        <w:tc>
          <w:tcPr>
            <w:tcW w:type="dxa" w:w="171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3.914</w:t>
            </w:r>
          </w:p>
        </w:tc>
      </w:tr>
      <w:tr>
        <w:trPr>
          <w:cantSplit/>
        </w:trPr>
        <w:tc>
          <w:tcPr>
            <w:tcW w:type="dxa" w:w="2808"/>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ds_t2_par</w:t>
            </w:r>
          </w:p>
        </w:tc>
        <w:tc>
          <w:tcPr>
            <w:tcW w:type="dxa" w:w="79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w:t>
            </w:r>
          </w:p>
        </w:tc>
        <w:tc>
          <w:tcPr>
            <w:tcW w:type="dxa" w:w="129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205.3</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110.534</w:t>
            </w:r>
          </w:p>
        </w:tc>
        <w:tc>
          <w:tcPr>
            <w:tcW w:type="dxa" w:w="1656"/>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1.270</w:t>
            </w:r>
          </w:p>
        </w:tc>
        <w:tc>
          <w:tcPr>
            <w:tcW w:type="dxa" w:w="171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3.931</w:t>
            </w:r>
          </w:p>
        </w:tc>
      </w:tr>
      <w:tr>
        <w:trPr>
          <w:cantSplit/>
        </w:trPr>
        <w:tc>
          <w:tcPr>
            <w:tcW w:type="dxa" w:w="2808"/>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ds_v5</w:t>
            </w:r>
          </w:p>
        </w:tc>
        <w:tc>
          <w:tcPr>
            <w:tcW w:type="dxa" w:w="79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w:t>
            </w:r>
          </w:p>
        </w:tc>
        <w:tc>
          <w:tcPr>
            <w:tcW w:type="dxa" w:w="129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182.5</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93.592</w:t>
            </w:r>
          </w:p>
        </w:tc>
        <w:tc>
          <w:tcPr>
            <w:tcW w:type="dxa" w:w="1656"/>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1.068</w:t>
            </w:r>
          </w:p>
        </w:tc>
        <w:tc>
          <w:tcPr>
            <w:tcW w:type="dxa" w:w="171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3.621</w:t>
            </w:r>
          </w:p>
        </w:tc>
      </w:tr>
    </w:tbl>
    <w:p>
      <w:pPr>
        <w:spacing w:after="0"/>
      </w:pPr>
    </w:p>
    <w:p>
      <w:pPr>
        <w:widowControl/>
      </w:pPr>
      <w:r>
        <w:rPr>
          <w:rFonts w:ascii="Arial" w:hAnsi="Arial" w:eastAsia="Hiragino Sans GB"/>
          <w:b w:val="0"/>
          <w:color w:val="000000"/>
        </w:rPr>
        <w:t>每条运行保留prompt、图像历史、代理处理、缓存与轨迹的版本差异；后续通过固定请求体、相同输出Schema和交错时间块分离各因素。</w:t>
      </w:r>
    </w:p>
    <w:p>
      <w:pPr>
        <w:widowControl/>
      </w:pPr>
      <w:r>
        <w:rPr>
          <w:rFonts w:ascii="Arial" w:hAnsi="Arial" w:eastAsia="Hiragino Sans GB"/>
          <w:b w:val="0"/>
          <w:color w:val="000000"/>
        </w:rPr>
        <w:t>转PPT建议：数据密度较高时，主文保留ds_v5、ds_t2_par和典型高TTFT运行；这八个同任务运行作为备份页，完整15个代理运行见伴随CSV。</w:t>
      </w:r>
    </w:p>
    <w:p>
      <w:pPr>
        <w:widowControl/>
      </w:pPr>
      <w:r>
        <w:rPr>
          <w:rFonts w:ascii="Arial" w:hAnsi="Arial" w:eastAsia="Hiragino Sans GB"/>
          <w:b w:val="0"/>
          <w:color w:val="555555"/>
          <w:sz w:val="17"/>
        </w:rPr>
        <w:t>来源 L07；280条精确归属DeepSeek代理记录，完整运行标识与字段见伴随数据表。</w:t>
      </w:r>
    </w:p>
    <w:p>
      <w:pPr>
        <w:pStyle w:val="Heading1"/>
        <w:pageBreakBefore/>
      </w:pPr>
      <w:r>
        <w:t>附录 D v5 全部请求的分阶段时间</w:t>
      </w:r>
    </w:p>
    <w:p>
      <w:pPr>
        <w:widowControl/>
      </w:pPr>
      <w:r>
        <w:rPr>
          <w:rFonts w:ascii="Arial" w:hAnsi="Arial" w:eastAsia="Hiragino Sans GB"/>
          <w:b w:val="0"/>
          <w:color w:val="000000"/>
        </w:rPr>
        <w:t>同一15请求单局的后续审计数据。TTFT覆盖请求至首输出；thinking及正文/工具按可见事件计时。〔E3〕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440"/>
        <w:gridCol w:w="1440"/>
        <w:gridCol w:w="1584"/>
        <w:gridCol w:w="1872"/>
        <w:gridCol w:w="3010"/>
      </w:tblGrid>
      <w:tr>
        <w:trPr>
          <w:cantSplit/>
          <w:tblHeader/>
        </w:trPr>
        <w:tc>
          <w:tcPr>
            <w:tcW w:type="dxa" w:w="792"/>
            <w:vAlign w:val="center"/>
            <w:shd w:fill="183D55"/>
            <w:tcMar>
              <w:top w:w="90" w:type="dxa"/>
              <w:bottom w:w="90" w:type="dxa"/>
              <w:left w:w="100" w:type="dxa"/>
              <w:right w:w="100" w:type="dxa"/>
            </w:tcMar>
          </w:tcPr>
          <w:p>
            <w:pPr>
              <w:spacing w:after="0" w:before="0" w:line="254" w:lineRule="auto"/>
              <w:jc w:val="left"/>
            </w:pPr>
            <w:r>
              <w:rPr>
                <w:rFonts w:ascii="Arial" w:hAnsi="Arial" w:eastAsia="Hiragino Sans GB"/>
                <w:b/>
                <w:color w:val="FFFFFF"/>
                <w:sz w:val="18"/>
              </w:rPr>
              <w:t>请求</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完整 s</w:t>
            </w:r>
          </w:p>
        </w:tc>
        <w:tc>
          <w:tcPr>
            <w:tcW w:type="dxa" w:w="144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TTFT s</w:t>
            </w:r>
          </w:p>
        </w:tc>
        <w:tc>
          <w:tcPr>
            <w:tcW w:type="dxa" w:w="1584"/>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thinking s</w:t>
            </w:r>
          </w:p>
        </w:tc>
        <w:tc>
          <w:tcPr>
            <w:tcW w:type="dxa" w:w="1872"/>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正文/工具 s</w:t>
            </w:r>
          </w:p>
        </w:tc>
        <w:tc>
          <w:tcPr>
            <w:tcW w:type="dxa" w:w="3010"/>
            <w:vAlign w:val="center"/>
            <w:shd w:fill="183D55"/>
            <w:tcMar>
              <w:top w:w="90" w:type="dxa"/>
              <w:bottom w:w="90" w:type="dxa"/>
              <w:left w:w="100" w:type="dxa"/>
              <w:right w:w="100" w:type="dxa"/>
            </w:tcMar>
          </w:tcPr>
          <w:p>
            <w:pPr>
              <w:spacing w:after="0" w:before="0" w:line="254" w:lineRule="auto"/>
              <w:jc w:val="center"/>
            </w:pPr>
            <w:r>
              <w:rPr>
                <w:rFonts w:ascii="Arial" w:hAnsi="Arial" w:eastAsia="Hiragino Sans GB"/>
                <w:b/>
                <w:color w:val="FFFFFF"/>
                <w:sz w:val="18"/>
              </w:rPr>
              <w:t>reason / 其他Token</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1.777</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0.676</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0.599</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0.502</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174 / 218</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2</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2.591</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0.845</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1.238</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0.508</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289 / 224</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3</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3.487</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0.717</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2.120</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0.650</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512 / 254</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4</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3.548</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1.048</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1.281</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1.219</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312 / 454</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5</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2.772</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0.825</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1.461</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0.486</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336 / 181</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6</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1.756</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0.931</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0.553</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0.272</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125 / 124</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7</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1.381</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0.943</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0.000</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0.438</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 / 184</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8</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1.862</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1.368</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0.273</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0.221</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60 / 75</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9</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10.944</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2.949</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6.557</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1.438</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1572 / 569</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10</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6.740</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1.068</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4.925</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0.747</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1174 / 271</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11</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24.546</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3.731</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19.959</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0.856</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4491 / 280</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12</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6.644</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3.731</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2.003</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0.910</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437 / 354</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13</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5.271</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2.328</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2.380</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0.563</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557 / 187</w:t>
            </w:r>
          </w:p>
        </w:tc>
      </w:tr>
      <w:tr>
        <w:trPr>
          <w:cantSplit/>
        </w:trPr>
        <w:tc>
          <w:tcPr>
            <w:tcW w:type="dxa" w:w="792"/>
            <w:vAlign w:val="center"/>
            <w:shd w:fill="F2F5F7"/>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14</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16.514</w:t>
            </w:r>
          </w:p>
        </w:tc>
        <w:tc>
          <w:tcPr>
            <w:tcW w:type="dxa" w:w="144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3.886</w:t>
            </w:r>
          </w:p>
        </w:tc>
        <w:tc>
          <w:tcPr>
            <w:tcW w:type="dxa" w:w="1584"/>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3.689</w:t>
            </w:r>
          </w:p>
        </w:tc>
        <w:tc>
          <w:tcPr>
            <w:tcW w:type="dxa" w:w="1872"/>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8.939</w:t>
            </w:r>
          </w:p>
        </w:tc>
        <w:tc>
          <w:tcPr>
            <w:tcW w:type="dxa" w:w="3010"/>
            <w:vAlign w:val="center"/>
            <w:shd w:fill="F2F5F7"/>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890 / 2687</w:t>
            </w:r>
          </w:p>
        </w:tc>
      </w:tr>
      <w:tr>
        <w:trPr>
          <w:cantSplit/>
        </w:trPr>
        <w:tc>
          <w:tcPr>
            <w:tcW w:type="dxa" w:w="792"/>
            <w:vAlign w:val="center"/>
            <w:shd w:fill="FFFFFF"/>
            <w:tcMar>
              <w:top w:w="90" w:type="dxa"/>
              <w:bottom w:w="90" w:type="dxa"/>
              <w:left w:w="100" w:type="dxa"/>
              <w:right w:w="100" w:type="dxa"/>
            </w:tcMar>
          </w:tcPr>
          <w:p>
            <w:pPr>
              <w:spacing w:after="0" w:before="0" w:line="254" w:lineRule="auto"/>
              <w:jc w:val="left"/>
            </w:pPr>
            <w:r>
              <w:rPr>
                <w:rFonts w:ascii="Arial" w:hAnsi="Arial" w:eastAsia="Hiragino Sans GB"/>
                <w:b w:val="0"/>
                <w:color w:val="000000"/>
                <w:sz w:val="18"/>
              </w:rPr>
              <w:t>15</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3.759</w:t>
            </w:r>
          </w:p>
        </w:tc>
        <w:tc>
          <w:tcPr>
            <w:tcW w:type="dxa" w:w="144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2.210</w:t>
            </w:r>
          </w:p>
        </w:tc>
        <w:tc>
          <w:tcPr>
            <w:tcW w:type="dxa" w:w="1584"/>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0.106</w:t>
            </w:r>
          </w:p>
        </w:tc>
        <w:tc>
          <w:tcPr>
            <w:tcW w:type="dxa" w:w="1872"/>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1.443</w:t>
            </w:r>
          </w:p>
        </w:tc>
        <w:tc>
          <w:tcPr>
            <w:tcW w:type="dxa" w:w="3010"/>
            <w:vAlign w:val="center"/>
            <w:shd w:fill="FFFFFF"/>
            <w:tcMar>
              <w:top w:w="90" w:type="dxa"/>
              <w:bottom w:w="90" w:type="dxa"/>
              <w:left w:w="100" w:type="dxa"/>
              <w:right w:w="100" w:type="dxa"/>
            </w:tcMar>
          </w:tcPr>
          <w:p>
            <w:pPr>
              <w:spacing w:after="0" w:before="0" w:line="254" w:lineRule="auto"/>
              <w:jc w:val="center"/>
            </w:pPr>
            <w:r>
              <w:rPr>
                <w:rFonts w:ascii="Arial" w:hAnsi="Arial" w:eastAsia="Hiragino Sans GB"/>
                <w:b w:val="0"/>
                <w:color w:val="000000"/>
                <w:sz w:val="18"/>
              </w:rPr>
              <w:t>12 / 429</w:t>
            </w:r>
          </w:p>
        </w:tc>
      </w:tr>
    </w:tbl>
    <w:p>
      <w:pPr>
        <w:spacing w:after="0"/>
      </w:pPr>
    </w:p>
    <w:p>
      <w:pPr>
        <w:widowControl/>
      </w:pPr>
      <w:r>
        <w:rPr>
          <w:rFonts w:ascii="Arial" w:hAnsi="Arial" w:eastAsia="Hiragino Sans GB"/>
          <w:b w:val="0"/>
          <w:color w:val="000000"/>
        </w:rPr>
        <w:t>第11次为thinking长尾，第14次为输出长尾。每个请求的完整时长与分段按同一测量范围对账，原HTML的低精度展示以本表精度复核。</w:t>
      </w:r>
    </w:p>
    <w:p>
      <w:pPr>
        <w:widowControl/>
      </w:pPr>
      <w:r>
        <w:rPr>
          <w:rFonts w:ascii="Arial" w:hAnsi="Arial" w:eastAsia="Hiragino Sans GB"/>
          <w:b w:val="0"/>
          <w:color w:val="000000"/>
        </w:rPr>
        <w:t>转PPT建议：第20页展示堆叠图与两个长尾；本表保留为数据备份页。</w:t>
      </w:r>
    </w:p>
    <w:p>
      <w:pPr>
        <w:widowControl/>
      </w:pPr>
      <w:r>
        <w:rPr>
          <w:rFonts w:ascii="Arial" w:hAnsi="Arial" w:eastAsia="Hiragino Sans GB"/>
          <w:b w:val="0"/>
          <w:color w:val="555555"/>
          <w:sz w:val="17"/>
        </w:rPr>
        <w:t>来源 L07；v5总93.592秒，TTFT27.256秒，thinking47.144秒，正文/工具19.192秒。</w:t>
      </w:r>
    </w:p>
    <w:p>
      <w:pPr>
        <w:pStyle w:val="Heading1"/>
        <w:pageBreakBefore/>
      </w:pPr>
      <w:r>
        <w:t>来源索引 1</w:t>
      </w:r>
    </w:p>
    <w:p>
      <w:pPr>
        <w:widowControl/>
      </w:pPr>
      <w:r>
        <w:rPr>
          <w:rFonts w:ascii="Arial" w:hAnsi="Arial" w:eastAsia="Hiragino Sans GB"/>
          <w:b w:val="0"/>
          <w:color w:val="000000"/>
        </w:rPr>
        <w:t>资料来源按L/W编号。网络资料访问日为2026年10月16日；RoboDojo榜单取自当日官网首页。</w:t>
      </w:r>
    </w:p>
    <w:p>
      <w:pPr>
        <w:spacing w:after="80"/>
      </w:pPr>
      <w:hyperlink r:id="rId13">
        <w:r>
          <w:rPr>
            <w:rFonts w:ascii="Arial" w:eastAsia="Hiragino Sans GB"/>
            <w:sz w:val="18"/>
            <w:color w:val="1C526C"/>
          </w:rPr>
          <w:t>L01  具身智能测试项目与数据汇总 v1.3</w:t>
        </w:r>
      </w:hyperlink>
    </w:p>
    <w:p>
      <w:pPr>
        <w:widowControl/>
      </w:pPr>
      <w:r>
        <w:rPr>
          <w:rFonts w:ascii="Arial" w:hAnsi="Arial" w:eastAsia="Hiragino Sans GB"/>
          <w:b w:val="0"/>
          <w:color w:val="555555"/>
          <w:sz w:val="17"/>
        </w:rPr>
        <w:t>weeks/2026_1012-1018_RPent多模型性能分析/2026-10-16-具身智能测试项目与数据汇总.md</w:t>
      </w:r>
    </w:p>
    <w:p>
      <w:pPr>
        <w:spacing w:after="80"/>
      </w:pPr>
      <w:hyperlink r:id="rId14">
        <w:r>
          <w:rPr>
            <w:rFonts w:ascii="Arial" w:eastAsia="Hiragino Sans GB"/>
            <w:sz w:val="18"/>
            <w:color w:val="1C526C"/>
          </w:rPr>
          <w:t>L02  bowl多模型总结与同seed对照</w:t>
        </w:r>
      </w:hyperlink>
    </w:p>
    <w:p>
      <w:pPr>
        <w:widowControl/>
      </w:pPr>
      <w:r>
        <w:rPr>
          <w:rFonts w:ascii="Arial" w:hAnsi="Arial" w:eastAsia="Hiragino Sans GB"/>
          <w:b w:val="0"/>
          <w:color w:val="555555"/>
          <w:sz w:val="17"/>
        </w:rPr>
        <w:t>weeks/2026_0914-0920_GPT6Astra评测复现/2026-09-16-bowl-eval-v1四模型总结报告.md</w:t>
      </w:r>
    </w:p>
    <w:p>
      <w:pPr>
        <w:spacing w:after="80"/>
      </w:pPr>
      <w:hyperlink r:id="rId15">
        <w:r>
          <w:rPr>
            <w:rFonts w:ascii="Arial" w:eastAsia="Hiragino Sans GB"/>
            <w:sz w:val="18"/>
            <w:color w:val="1C526C"/>
          </w:rPr>
          <w:t>L03  GPT-as-Policy三任务逐轮决策实录</w:t>
        </w:r>
      </w:hyperlink>
    </w:p>
    <w:p>
      <w:pPr>
        <w:widowControl/>
      </w:pPr>
      <w:r>
        <w:rPr>
          <w:rFonts w:ascii="Arial" w:hAnsi="Arial" w:eastAsia="Hiragino Sans GB"/>
          <w:b w:val="0"/>
          <w:color w:val="555555"/>
          <w:sz w:val="17"/>
        </w:rPr>
        <w:t>weeks/2026_0921-0927_同机仿真与云边验证/2026-09-22-LIBERO10-task0-Ori-init0-逐轮决策实录.md</w:t>
      </w:r>
    </w:p>
    <w:p>
      <w:pPr>
        <w:spacing w:after="80"/>
      </w:pPr>
      <w:hyperlink r:id="rId16">
        <w:r>
          <w:rPr>
            <w:rFonts w:ascii="Arial" w:eastAsia="Hiragino Sans GB"/>
            <w:sz w:val="18"/>
            <w:color w:val="1C526C"/>
          </w:rPr>
          <w:t>L04  RPent Codex双模型120集结果</w:t>
        </w:r>
      </w:hyperlink>
    </w:p>
    <w:p>
      <w:pPr>
        <w:widowControl/>
      </w:pPr>
      <w:r>
        <w:rPr>
          <w:rFonts w:ascii="Arial" w:hAnsi="Arial" w:eastAsia="Hiragino Sans GB"/>
          <w:b w:val="0"/>
          <w:color w:val="555555"/>
          <w:sz w:val="17"/>
        </w:rPr>
        <w:t>weeks/2026_0928-1004_RPent双脑对照与回馈/2026-10-01-RPent-Codex双模型120集结果.md</w:t>
      </w:r>
    </w:p>
    <w:p>
      <w:pPr>
        <w:spacing w:after="80"/>
      </w:pPr>
      <w:hyperlink r:id="rId17">
        <w:r>
          <w:rPr>
            <w:rFonts w:ascii="Arial" w:eastAsia="Hiragino Sans GB"/>
            <w:sz w:val="18"/>
            <w:color w:val="1C526C"/>
          </w:rPr>
          <w:t>L05  RPent 120集运行账本与性能报告</w:t>
        </w:r>
      </w:hyperlink>
    </w:p>
    <w:p>
      <w:pPr>
        <w:widowControl/>
      </w:pPr>
      <w:r>
        <w:rPr>
          <w:rFonts w:ascii="Arial" w:hAnsi="Arial" w:eastAsia="Hiragino Sans GB"/>
          <w:b w:val="0"/>
          <w:color w:val="555555"/>
          <w:sz w:val="17"/>
        </w:rPr>
        <w:t>weeks/2026_1005-1011_RPent推理性能分析/evidence/runtime-ledger.json</w:t>
      </w:r>
    </w:p>
    <w:p>
      <w:pPr>
        <w:spacing w:after="80"/>
      </w:pPr>
      <w:hyperlink r:id="rId18">
        <w:r>
          <w:rPr>
            <w:rFonts w:ascii="Arial" w:eastAsia="Hiragino Sans GB"/>
            <w:sz w:val="18"/>
            <w:color w:val="1C526C"/>
          </w:rPr>
          <w:t>L06  RPent独立8集精细计时数据</w:t>
        </w:r>
      </w:hyperlink>
    </w:p>
    <w:p>
      <w:pPr>
        <w:widowControl/>
      </w:pPr>
      <w:r>
        <w:rPr>
          <w:rFonts w:ascii="Arial" w:hAnsi="Arial" w:eastAsia="Hiragino Sans GB"/>
          <w:b w:val="0"/>
          <w:color w:val="555555"/>
          <w:sz w:val="17"/>
        </w:rPr>
        <w:t>weeks/2026_1005-1011_RPent推理性能分析/deep-report/report-data.json</w:t>
      </w:r>
    </w:p>
    <w:p>
      <w:pPr>
        <w:spacing w:after="80"/>
      </w:pPr>
      <w:hyperlink r:id="rId19">
        <w:r>
          <w:rPr>
            <w:rFonts w:ascii="Arial" w:eastAsia="Hiragino Sans GB"/>
            <w:sz w:val="18"/>
            <w:color w:val="1C526C"/>
          </w:rPr>
          <w:t>L07  DeepSeek两场景性能审计与分阶段表</w:t>
        </w:r>
      </w:hyperlink>
    </w:p>
    <w:p>
      <w:pPr>
        <w:widowControl/>
      </w:pPr>
      <w:r>
        <w:rPr>
          <w:rFonts w:ascii="Arial" w:hAnsi="Arial" w:eastAsia="Hiragino Sans GB"/>
          <w:b w:val="0"/>
          <w:color w:val="555555"/>
          <w:sz w:val="17"/>
        </w:rPr>
        <w:t>weeks/2026_1012-1018_RPent多模型性能分析/ds-report/README.md</w:t>
      </w:r>
    </w:p>
    <w:p>
      <w:pPr>
        <w:spacing w:after="80"/>
      </w:pPr>
      <w:hyperlink r:id="rId20">
        <w:r>
          <w:rPr>
            <w:rFonts w:ascii="Arial" w:eastAsia="Hiragino Sans GB"/>
            <w:sz w:val="18"/>
            <w:color w:val="1C526C"/>
          </w:rPr>
          <w:t>L08  DeepSeek单局v5与Files API逐轮表复算</w:t>
        </w:r>
      </w:hyperlink>
    </w:p>
    <w:p>
      <w:pPr>
        <w:widowControl/>
      </w:pPr>
      <w:r>
        <w:rPr>
          <w:rFonts w:ascii="Arial" w:hAnsi="Arial" w:eastAsia="Hiragino Sans GB"/>
          <w:b w:val="0"/>
          <w:color w:val="555555"/>
          <w:sz w:val="17"/>
        </w:rPr>
        <w:t>weeks/2026_1012-1018_RPent多模型性能分析/2026-10-16-三层研究报告/data/ds_flash_v5_report_table.csv</w:t>
      </w:r>
    </w:p>
    <w:p>
      <w:pPr>
        <w:pStyle w:val="Heading1"/>
        <w:pageBreakBefore/>
      </w:pPr>
      <w:r>
        <w:t>来源索引 2</w:t>
      </w:r>
    </w:p>
    <w:p>
      <w:pPr>
        <w:widowControl/>
      </w:pPr>
      <w:r>
        <w:rPr>
          <w:rFonts w:ascii="Arial" w:hAnsi="Arial" w:eastAsia="Hiragino Sans GB"/>
          <w:b w:val="0"/>
          <w:color w:val="000000"/>
        </w:rPr>
        <w:t>资料来源按L/W编号。网络资料访问日为2026年10月16日；RoboDojo榜单取自当日官网首页。</w:t>
      </w:r>
    </w:p>
    <w:p>
      <w:pPr>
        <w:spacing w:after="80"/>
      </w:pPr>
      <w:hyperlink r:id="rId21">
        <w:r>
          <w:rPr>
            <w:rFonts w:ascii="Arial" w:eastAsia="Hiragino Sans GB"/>
            <w:sz w:val="18"/>
            <w:color w:val="1C526C"/>
          </w:rPr>
          <w:t>L09  EmbodiedJev项目分析与RPent对比</w:t>
        </w:r>
      </w:hyperlink>
    </w:p>
    <w:p>
      <w:pPr>
        <w:widowControl/>
      </w:pPr>
      <w:r>
        <w:rPr>
          <w:rFonts w:ascii="Arial" w:hAnsi="Arial" w:eastAsia="Hiragino Sans GB"/>
          <w:b w:val="0"/>
          <w:color w:val="555555"/>
          <w:sz w:val="17"/>
        </w:rPr>
        <w:t>weeks/2026_1012-1018_RPent多模型性能分析/2026-10-13-EmbodiedJev项目分析与RPent对比.md</w:t>
      </w:r>
    </w:p>
    <w:p>
      <w:pPr>
        <w:spacing w:after="80"/>
      </w:pPr>
      <w:hyperlink r:id="rId22">
        <w:r>
          <w:rPr>
            <w:rFonts w:ascii="Arial" w:eastAsia="Hiragino Sans GB"/>
            <w:sz w:val="18"/>
            <w:color w:val="1C526C"/>
          </w:rPr>
          <w:t>L10  RPent扩展FlashMode与libero_goal</w:t>
        </w:r>
      </w:hyperlink>
    </w:p>
    <w:p>
      <w:pPr>
        <w:widowControl/>
      </w:pPr>
      <w:r>
        <w:rPr>
          <w:rFonts w:ascii="Arial" w:hAnsi="Arial" w:eastAsia="Hiragino Sans GB"/>
          <w:b w:val="0"/>
          <w:color w:val="555555"/>
          <w:sz w:val="17"/>
        </w:rPr>
        <w:t>weeks/2026_0921-0927_同机仿真与云边验证/2026-09-27-RPent扩展-FlashMode与libero_goal.md</w:t>
      </w:r>
    </w:p>
    <w:p>
      <w:pPr>
        <w:spacing w:after="80"/>
      </w:pPr>
      <w:hyperlink r:id="rId23">
        <w:r>
          <w:rPr>
            <w:rFonts w:ascii="Arial" w:eastAsia="Hiragino Sans GB"/>
            <w:sz w:val="18"/>
            <w:color w:val="1C526C"/>
          </w:rPr>
          <w:t>L11  COAP论文分析与RPent实验建议</w:t>
        </w:r>
      </w:hyperlink>
    </w:p>
    <w:p>
      <w:pPr>
        <w:widowControl/>
      </w:pPr>
      <w:r>
        <w:rPr>
          <w:rFonts w:ascii="Arial" w:hAnsi="Arial" w:eastAsia="Hiragino Sans GB"/>
          <w:b w:val="0"/>
          <w:color w:val="555555"/>
          <w:sz w:val="17"/>
        </w:rPr>
        <w:t>weeks/2026_1012-1018_RPent多模型性能分析/2026-10-15-COAP论文分析与RPent实验建议.md</w:t>
      </w:r>
    </w:p>
    <w:p>
      <w:pPr>
        <w:spacing w:after="80"/>
      </w:pPr>
      <w:hyperlink r:id="rId24">
        <w:r>
          <w:rPr>
            <w:rFonts w:ascii="Arial" w:eastAsia="Hiragino Sans GB"/>
            <w:sz w:val="18"/>
            <w:color w:val="1C526C"/>
          </w:rPr>
          <w:t>L12  EmbodiedEvo分析与RPent经验复用实验建议</w:t>
        </w:r>
      </w:hyperlink>
    </w:p>
    <w:p>
      <w:pPr>
        <w:widowControl/>
      </w:pPr>
      <w:r>
        <w:rPr>
          <w:rFonts w:ascii="Arial" w:hAnsi="Arial" w:eastAsia="Hiragino Sans GB"/>
          <w:b w:val="0"/>
          <w:color w:val="555555"/>
          <w:sz w:val="17"/>
        </w:rPr>
        <w:t>weeks/2026_1012-1018_RPent多模型性能分析/2026-10-15-EmbodiedEvo分析与RPent经验复用实验建议.md</w:t>
      </w:r>
    </w:p>
    <w:p>
      <w:pPr>
        <w:spacing w:after="80"/>
      </w:pPr>
      <w:hyperlink r:id="rId25">
        <w:r>
          <w:rPr>
            <w:rFonts w:ascii="Arial" w:eastAsia="Hiragino Sans GB"/>
            <w:sz w:val="18"/>
            <w:color w:val="1C526C"/>
          </w:rPr>
          <w:t>L13  VLM VLA双脑架构与推理优化调研</w:t>
        </w:r>
      </w:hyperlink>
    </w:p>
    <w:p>
      <w:pPr>
        <w:widowControl/>
      </w:pPr>
      <w:r>
        <w:rPr>
          <w:rFonts w:ascii="Arial" w:hAnsi="Arial" w:eastAsia="Hiragino Sans GB"/>
          <w:b w:val="0"/>
          <w:color w:val="555555"/>
          <w:sz w:val="17"/>
        </w:rPr>
        <w:t>weeks/2026_1012-1018_RPent多模型性能分析/2026-10-13-VLM-VLA双脑架构与推理优化调研.md</w:t>
      </w:r>
    </w:p>
    <w:p>
      <w:pPr>
        <w:spacing w:after="80"/>
      </w:pPr>
      <w:hyperlink r:id="rId26">
        <w:r>
          <w:rPr>
            <w:rFonts w:ascii="Arial" w:eastAsia="Hiragino Sans GB"/>
            <w:sz w:val="18"/>
            <w:color w:val="1C526C"/>
          </w:rPr>
          <w:t>L14  Motus与910B3联合端到端RL预注册</w:t>
        </w:r>
      </w:hyperlink>
    </w:p>
    <w:p>
      <w:pPr>
        <w:widowControl/>
      </w:pPr>
      <w:r>
        <w:rPr>
          <w:rFonts w:ascii="Arial" w:hAnsi="Arial" w:eastAsia="Hiragino Sans GB"/>
          <w:b w:val="0"/>
          <w:color w:val="555555"/>
          <w:sz w:val="17"/>
        </w:rPr>
        <w:t>weeks/2026_1012-1018_RPent多模型性能分析/2026-10-14-Motus与910B3联合端到端RL实验预注册.md</w:t>
      </w:r>
    </w:p>
    <w:p>
      <w:pPr>
        <w:spacing w:after="80"/>
      </w:pPr>
      <w:hyperlink r:id="rId27">
        <w:r>
          <w:rPr>
            <w:rFonts w:ascii="Arial" w:eastAsia="Hiragino Sans GB"/>
            <w:sz w:val="18"/>
            <w:color w:val="1C526C"/>
          </w:rPr>
          <w:t>L15  Motus联合训练模型选型核查</w:t>
        </w:r>
      </w:hyperlink>
    </w:p>
    <w:p>
      <w:pPr>
        <w:widowControl/>
      </w:pPr>
      <w:r>
        <w:rPr>
          <w:rFonts w:ascii="Arial" w:hAnsi="Arial" w:eastAsia="Hiragino Sans GB"/>
          <w:b w:val="0"/>
          <w:color w:val="555555"/>
          <w:sz w:val="17"/>
        </w:rPr>
        <w:t>weeks/2026_1012-1018_RPent多模型性能分析/2026-10-15-Motus联合训练的VLM与Wan模型选型核查.md</w:t>
      </w:r>
    </w:p>
    <w:p>
      <w:pPr>
        <w:spacing w:after="80"/>
      </w:pPr>
      <w:hyperlink r:id="rId28">
        <w:r>
          <w:rPr>
            <w:rFonts w:ascii="Arial" w:eastAsia="Hiragino Sans GB"/>
            <w:sz w:val="18"/>
            <w:color w:val="1C526C"/>
          </w:rPr>
          <w:t>L16  10月16日完整Motus工程小训练记录</w:t>
        </w:r>
      </w:hyperlink>
    </w:p>
    <w:p>
      <w:pPr>
        <w:widowControl/>
      </w:pPr>
      <w:r>
        <w:rPr>
          <w:rFonts w:ascii="Arial" w:hAnsi="Arial" w:eastAsia="Hiragino Sans GB"/>
          <w:b w:val="0"/>
          <w:color w:val="555555"/>
          <w:sz w:val="17"/>
        </w:rPr>
        <w:t>weeks/2026_1012-1018_RPent多模型性能分析/readme.md</w:t>
      </w:r>
    </w:p>
    <w:p>
      <w:pPr>
        <w:pStyle w:val="Heading1"/>
        <w:pageBreakBefore/>
      </w:pPr>
      <w:r>
        <w:t>来源索引 3</w:t>
      </w:r>
    </w:p>
    <w:p>
      <w:pPr>
        <w:widowControl/>
      </w:pPr>
      <w:r>
        <w:rPr>
          <w:rFonts w:ascii="Arial" w:hAnsi="Arial" w:eastAsia="Hiragino Sans GB"/>
          <w:b w:val="0"/>
          <w:color w:val="000000"/>
        </w:rPr>
        <w:t>资料来源按L/W编号。网络资料访问日为2026年10月16日；RoboDojo榜单取自当日官网首页。</w:t>
      </w:r>
    </w:p>
    <w:p>
      <w:pPr>
        <w:spacing w:after="80"/>
      </w:pPr>
      <w:hyperlink r:id="rId29">
        <w:r>
          <w:rPr>
            <w:rFonts w:ascii="Arial" w:eastAsia="Hiragino Sans GB"/>
            <w:sz w:val="18"/>
            <w:color w:val="1C526C"/>
          </w:rPr>
          <w:t>W01  RoboDojo v1 paper</w:t>
        </w:r>
      </w:hyperlink>
    </w:p>
    <w:p>
      <w:pPr>
        <w:widowControl/>
      </w:pPr>
      <w:r>
        <w:rPr>
          <w:rFonts w:ascii="Arial" w:hAnsi="Arial" w:eastAsia="Hiragino Sans GB"/>
          <w:b w:val="0"/>
          <w:color w:val="555555"/>
          <w:sz w:val="17"/>
        </w:rPr>
        <w:t>https://arxiv.org/html/2607.04434v1</w:t>
      </w:r>
    </w:p>
    <w:p>
      <w:pPr>
        <w:spacing w:after="80"/>
      </w:pPr>
      <w:hyperlink r:id="rId30">
        <w:r>
          <w:rPr>
            <w:rFonts w:ascii="Arial" w:eastAsia="Hiragino Sans GB"/>
            <w:sz w:val="18"/>
            <w:color w:val="1C526C"/>
          </w:rPr>
          <w:t>W02  RoboDojo official homepage leaderboard and News</w:t>
        </w:r>
      </w:hyperlink>
    </w:p>
    <w:p>
      <w:pPr>
        <w:widowControl/>
      </w:pPr>
      <w:r>
        <w:rPr>
          <w:rFonts w:ascii="Arial" w:hAnsi="Arial" w:eastAsia="Hiragino Sans GB"/>
          <w:b w:val="0"/>
          <w:color w:val="555555"/>
          <w:sz w:val="17"/>
        </w:rPr>
        <w:t>https://robodojo-benchmark.com/</w:t>
      </w:r>
    </w:p>
    <w:p>
      <w:pPr>
        <w:spacing w:after="80"/>
      </w:pPr>
      <w:hyperlink r:id="rId31">
        <w:r>
          <w:rPr>
            <w:rFonts w:ascii="Arial" w:eastAsia="Hiragino Sans GB"/>
            <w:sz w:val="18"/>
            <w:color w:val="1C526C"/>
          </w:rPr>
          <w:t>W03  LIBERO official datasets</w:t>
        </w:r>
      </w:hyperlink>
    </w:p>
    <w:p>
      <w:pPr>
        <w:widowControl/>
      </w:pPr>
      <w:r>
        <w:rPr>
          <w:rFonts w:ascii="Arial" w:hAnsi="Arial" w:eastAsia="Hiragino Sans GB"/>
          <w:b w:val="0"/>
          <w:color w:val="555555"/>
          <w:sz w:val="17"/>
        </w:rPr>
        <w:t>https://libero-project.github.io/datasets</w:t>
      </w:r>
    </w:p>
    <w:p>
      <w:pPr>
        <w:spacing w:after="80"/>
      </w:pPr>
      <w:hyperlink r:id="rId32">
        <w:r>
          <w:rPr>
            <w:rFonts w:ascii="Arial" w:eastAsia="Hiragino Sans GB"/>
            <w:sz w:val="18"/>
            <w:color w:val="1C526C"/>
          </w:rPr>
          <w:t>W04  LIBERO official repository</w:t>
        </w:r>
      </w:hyperlink>
    </w:p>
    <w:p>
      <w:pPr>
        <w:widowControl/>
      </w:pPr>
      <w:r>
        <w:rPr>
          <w:rFonts w:ascii="Arial" w:hAnsi="Arial" w:eastAsia="Hiragino Sans GB"/>
          <w:b w:val="0"/>
          <w:color w:val="555555"/>
          <w:sz w:val="17"/>
        </w:rPr>
        <w:t>https://github.com/Lifelong-Robot-Learning/LIBERO</w:t>
      </w:r>
    </w:p>
    <w:p>
      <w:pPr>
        <w:spacing w:after="80"/>
      </w:pPr>
      <w:hyperlink r:id="rId33">
        <w:r>
          <w:rPr>
            <w:rFonts w:ascii="Arial" w:eastAsia="Hiragino Sans GB"/>
            <w:sz w:val="18"/>
            <w:color w:val="1C526C"/>
          </w:rPr>
          <w:t>W05  RoboSpatial</w:t>
        </w:r>
      </w:hyperlink>
    </w:p>
    <w:p>
      <w:pPr>
        <w:widowControl/>
      </w:pPr>
      <w:r>
        <w:rPr>
          <w:rFonts w:ascii="Arial" w:hAnsi="Arial" w:eastAsia="Hiragino Sans GB"/>
          <w:b w:val="0"/>
          <w:color w:val="555555"/>
          <w:sz w:val="17"/>
        </w:rPr>
        <w:t>https://arxiv.org/abs/2411.16537v5</w:t>
      </w:r>
    </w:p>
    <w:p>
      <w:pPr>
        <w:spacing w:after="80"/>
      </w:pPr>
      <w:hyperlink r:id="rId34">
        <w:r>
          <w:rPr>
            <w:rFonts w:ascii="Arial" w:eastAsia="Hiragino Sans GB"/>
            <w:sz w:val="18"/>
            <w:color w:val="1C526C"/>
          </w:rPr>
          <w:t>W06  SpatialVLM</w:t>
        </w:r>
      </w:hyperlink>
    </w:p>
    <w:p>
      <w:pPr>
        <w:widowControl/>
      </w:pPr>
      <w:r>
        <w:rPr>
          <w:rFonts w:ascii="Arial" w:hAnsi="Arial" w:eastAsia="Hiragino Sans GB"/>
          <w:b w:val="0"/>
          <w:color w:val="555555"/>
          <w:sz w:val="17"/>
        </w:rPr>
        <w:t>https://spatial-vlm.github.io/</w:t>
      </w:r>
    </w:p>
    <w:p>
      <w:pPr>
        <w:spacing w:after="80"/>
      </w:pPr>
      <w:hyperlink r:id="rId35">
        <w:r>
          <w:rPr>
            <w:rFonts w:ascii="Arial" w:eastAsia="Hiragino Sans GB"/>
            <w:sz w:val="18"/>
            <w:color w:val="1C526C"/>
          </w:rPr>
          <w:t>W07  DAgger</w:t>
        </w:r>
      </w:hyperlink>
    </w:p>
    <w:p>
      <w:pPr>
        <w:widowControl/>
      </w:pPr>
      <w:r>
        <w:rPr>
          <w:rFonts w:ascii="Arial" w:hAnsi="Arial" w:eastAsia="Hiragino Sans GB"/>
          <w:b w:val="0"/>
          <w:color w:val="555555"/>
          <w:sz w:val="17"/>
        </w:rPr>
        <w:t>https://proceedings.mlr.press/v15/ross11a.html</w:t>
      </w:r>
    </w:p>
    <w:p>
      <w:pPr>
        <w:spacing w:after="80"/>
      </w:pPr>
      <w:hyperlink r:id="rId36">
        <w:r>
          <w:rPr>
            <w:rFonts w:ascii="Arial" w:eastAsia="Hiragino Sans GB"/>
            <w:sz w:val="18"/>
            <w:color w:val="1C526C"/>
          </w:rPr>
          <w:t>W08  Embodied-R1.5</w:t>
        </w:r>
      </w:hyperlink>
    </w:p>
    <w:p>
      <w:pPr>
        <w:widowControl/>
      </w:pPr>
      <w:r>
        <w:rPr>
          <w:rFonts w:ascii="Arial" w:hAnsi="Arial" w:eastAsia="Hiragino Sans GB"/>
          <w:b w:val="0"/>
          <w:color w:val="555555"/>
          <w:sz w:val="17"/>
        </w:rPr>
        <w:t>https://arxiv.org/abs/2606.11324v2</w:t>
      </w:r>
    </w:p>
    <w:p>
      <w:pPr>
        <w:spacing w:after="80"/>
      </w:pPr>
      <w:hyperlink r:id="rId37">
        <w:r>
          <w:rPr>
            <w:rFonts w:ascii="Arial" w:eastAsia="Hiragino Sans GB"/>
            <w:sz w:val="18"/>
            <w:color w:val="1C526C"/>
          </w:rPr>
          <w:t>W09  Pointing-VLA</w:t>
        </w:r>
      </w:hyperlink>
    </w:p>
    <w:p>
      <w:pPr>
        <w:widowControl/>
      </w:pPr>
      <w:r>
        <w:rPr>
          <w:rFonts w:ascii="Arial" w:hAnsi="Arial" w:eastAsia="Hiragino Sans GB"/>
          <w:b w:val="0"/>
          <w:color w:val="555555"/>
          <w:sz w:val="17"/>
        </w:rPr>
        <w:t>https://arxiv.org/abs/2608.23138</w:t>
      </w:r>
    </w:p>
    <w:p>
      <w:pPr>
        <w:spacing w:after="80"/>
      </w:pPr>
      <w:hyperlink r:id="rId38">
        <w:r>
          <w:rPr>
            <w:rFonts w:ascii="Arial" w:eastAsia="Hiragino Sans GB"/>
            <w:sz w:val="18"/>
            <w:color w:val="1C526C"/>
          </w:rPr>
          <w:t>W10  Embodied-R1</w:t>
        </w:r>
      </w:hyperlink>
    </w:p>
    <w:p>
      <w:pPr>
        <w:widowControl/>
      </w:pPr>
      <w:r>
        <w:rPr>
          <w:rFonts w:ascii="Arial" w:hAnsi="Arial" w:eastAsia="Hiragino Sans GB"/>
          <w:b w:val="0"/>
          <w:color w:val="555555"/>
          <w:sz w:val="17"/>
        </w:rPr>
        <w:t>https://arxiv.org/abs/2508.13998</w:t>
      </w:r>
    </w:p>
    <w:p>
      <w:pPr>
        <w:spacing w:after="80"/>
      </w:pPr>
      <w:hyperlink r:id="rId39">
        <w:r>
          <w:rPr>
            <w:rFonts w:ascii="Arial" w:eastAsia="Hiragino Sans GB"/>
            <w:sz w:val="18"/>
            <w:color w:val="1C526C"/>
          </w:rPr>
          <w:t>W11  Embodied Turing Machines: Stateful Code for Robot Recursive Self-Improvement</w:t>
        </w:r>
      </w:hyperlink>
    </w:p>
    <w:p>
      <w:pPr>
        <w:widowControl/>
      </w:pPr>
      <w:r>
        <w:rPr>
          <w:rFonts w:ascii="Arial" w:hAnsi="Arial" w:eastAsia="Hiragino Sans GB"/>
          <w:b w:val="0"/>
          <w:color w:val="555555"/>
          <w:sz w:val="17"/>
        </w:rPr>
        <w:t>https://arxiv.org/html/2610.12369v1</w:t>
      </w:r>
    </w:p>
    <w:p>
      <w:pPr>
        <w:pStyle w:val="Heading1"/>
        <w:pageBreakBefore/>
      </w:pPr>
      <w:r>
        <w:t>来源索引 4</w:t>
      </w:r>
    </w:p>
    <w:p>
      <w:pPr>
        <w:widowControl/>
      </w:pPr>
      <w:r>
        <w:rPr>
          <w:rFonts w:ascii="Arial" w:hAnsi="Arial" w:eastAsia="Hiragino Sans GB"/>
          <w:b w:val="0"/>
          <w:color w:val="000000"/>
        </w:rPr>
        <w:t>资料来源按L/W编号。网络资料访问日为2026年10月16日；RoboDojo榜单取自当日官网首页。</w:t>
      </w:r>
    </w:p>
    <w:p>
      <w:pPr>
        <w:spacing w:after="80"/>
      </w:pPr>
      <w:hyperlink r:id="rId40">
        <w:r>
          <w:rPr>
            <w:rFonts w:ascii="Arial" w:eastAsia="Hiragino Sans GB"/>
            <w:sz w:val="18"/>
            <w:color w:val="1C526C"/>
          </w:rPr>
          <w:t>W12  EmbodiedEvo: Self-Evolving Coding Agent For Physical Intelligence</w:t>
        </w:r>
      </w:hyperlink>
    </w:p>
    <w:p>
      <w:pPr>
        <w:widowControl/>
      </w:pPr>
      <w:r>
        <w:rPr>
          <w:rFonts w:ascii="Arial" w:hAnsi="Arial" w:eastAsia="Hiragino Sans GB"/>
          <w:b w:val="0"/>
          <w:color w:val="555555"/>
          <w:sz w:val="17"/>
        </w:rPr>
        <w:t>https://arxiv.org/html/2610.18867v2</w:t>
      </w:r>
    </w:p>
    <w:p>
      <w:pPr>
        <w:spacing w:after="80"/>
      </w:pPr>
      <w:hyperlink r:id="rId41">
        <w:r>
          <w:rPr>
            <w:rFonts w:ascii="Arial" w:eastAsia="Hiragino Sans GB"/>
            <w:sz w:val="18"/>
            <w:color w:val="1C526C"/>
          </w:rPr>
          <w:t>W13  Real-Time Execution of Action Chunking Flow Policies</w:t>
        </w:r>
      </w:hyperlink>
    </w:p>
    <w:p>
      <w:pPr>
        <w:widowControl/>
      </w:pPr>
      <w:r>
        <w:rPr>
          <w:rFonts w:ascii="Arial" w:hAnsi="Arial" w:eastAsia="Hiragino Sans GB"/>
          <w:b w:val="0"/>
          <w:color w:val="555555"/>
          <w:sz w:val="17"/>
        </w:rPr>
        <w:t>https://arxiv.org/abs/2506.07339v2</w:t>
      </w:r>
    </w:p>
    <w:p>
      <w:pPr>
        <w:spacing w:after="80"/>
      </w:pPr>
      <w:hyperlink r:id="rId42">
        <w:r>
          <w:rPr>
            <w:rFonts w:ascii="Arial" w:eastAsia="Hiragino Sans GB"/>
            <w:sz w:val="18"/>
            <w:color w:val="1C526C"/>
          </w:rPr>
          <w:t>W14  Hi Robot: Open-Ended Instruction Following with Hierarchical Vision-Language-Action Models</w:t>
        </w:r>
      </w:hyperlink>
    </w:p>
    <w:p>
      <w:pPr>
        <w:widowControl/>
      </w:pPr>
      <w:r>
        <w:rPr>
          <w:rFonts w:ascii="Arial" w:hAnsi="Arial" w:eastAsia="Hiragino Sans GB"/>
          <w:b w:val="0"/>
          <w:color w:val="555555"/>
          <w:sz w:val="17"/>
        </w:rPr>
        <w:t>https://arxiv.org/html/2502.19417v2</w:t>
      </w:r>
    </w:p>
    <w:p>
      <w:pPr>
        <w:spacing w:after="80"/>
      </w:pPr>
      <w:hyperlink r:id="rId43">
        <w:r>
          <w:rPr>
            <w:rFonts w:ascii="Arial" w:eastAsia="Hiragino Sans GB"/>
            <w:sz w:val="18"/>
            <w:color w:val="1C526C"/>
          </w:rPr>
          <w:t>W15  Helix: A Vision-Language-Action Model for Generalist Humanoid Control</w:t>
        </w:r>
      </w:hyperlink>
    </w:p>
    <w:p>
      <w:pPr>
        <w:widowControl/>
      </w:pPr>
      <w:r>
        <w:rPr>
          <w:rFonts w:ascii="Arial" w:hAnsi="Arial" w:eastAsia="Hiragino Sans GB"/>
          <w:b w:val="0"/>
          <w:color w:val="555555"/>
          <w:sz w:val="17"/>
        </w:rPr>
        <w:t>https://www.figure.ai/news/helix</w:t>
      </w:r>
    </w:p>
    <w:p>
      <w:pPr>
        <w:spacing w:after="80"/>
      </w:pPr>
      <w:hyperlink r:id="rId44">
        <w:r>
          <w:rPr>
            <w:rFonts w:ascii="Arial" w:eastAsia="Hiragino Sans GB"/>
            <w:sz w:val="18"/>
            <w:color w:val="1C526C"/>
          </w:rPr>
          <w:t>W16  Motus: A Unified Latent Action World Model</w:t>
        </w:r>
      </w:hyperlink>
    </w:p>
    <w:p>
      <w:pPr>
        <w:widowControl/>
      </w:pPr>
      <w:r>
        <w:rPr>
          <w:rFonts w:ascii="Arial" w:hAnsi="Arial" w:eastAsia="Hiragino Sans GB"/>
          <w:b w:val="0"/>
          <w:color w:val="555555"/>
          <w:sz w:val="17"/>
        </w:rPr>
        <w:t>https://arxiv.org/abs/2512.13030v2</w:t>
      </w:r>
    </w:p>
    <w:p>
      <w:pPr>
        <w:spacing w:after="80"/>
      </w:pPr>
      <w:hyperlink r:id="rId45">
        <w:r>
          <w:rPr>
            <w:rFonts w:ascii="Arial" w:eastAsia="Hiragino Sans GB"/>
            <w:sz w:val="18"/>
            <w:color w:val="1C526C"/>
          </w:rPr>
          <w:t>W17  Motus2: A Self-Evolving General World Model for Dexterous Manipulation</w:t>
        </w:r>
      </w:hyperlink>
    </w:p>
    <w:p>
      <w:pPr>
        <w:widowControl/>
      </w:pPr>
      <w:r>
        <w:rPr>
          <w:rFonts w:ascii="Arial" w:hAnsi="Arial" w:eastAsia="Hiragino Sans GB"/>
          <w:b w:val="0"/>
          <w:color w:val="555555"/>
          <w:sz w:val="17"/>
        </w:rPr>
        <w:t>https://arxiv.org/abs/2608.30237v2</w:t>
      </w:r>
    </w:p>
    <w:p>
      <w:pPr>
        <w:spacing w:after="80"/>
      </w:pPr>
      <w:hyperlink r:id="rId46">
        <w:r>
          <w:rPr>
            <w:rFonts w:ascii="Arial" w:eastAsia="Hiragino Sans GB"/>
            <w:sz w:val="18"/>
            <w:color w:val="1C526C"/>
          </w:rPr>
          <w:t>W18  EmbodiedJev fixed-source candidate selection and servo</w:t>
        </w:r>
      </w:hyperlink>
    </w:p>
    <w:p>
      <w:pPr>
        <w:widowControl/>
      </w:pPr>
      <w:r>
        <w:rPr>
          <w:rFonts w:ascii="Arial" w:hAnsi="Arial" w:eastAsia="Hiragino Sans GB"/>
          <w:b w:val="0"/>
          <w:color w:val="555555"/>
          <w:sz w:val="17"/>
        </w:rPr>
        <w:t>https://github.com/FBddcz/embodied-jev/blob/f08de2e4e20d6cd69fea9c57ac1062c3ef510f1e/src/embodied_jev/policies.py#L277-L313</w:t>
      </w:r>
    </w:p>
    <w:p>
      <w:pPr>
        <w:spacing w:after="80"/>
      </w:pPr>
      <w:hyperlink r:id="rId47">
        <w:r>
          <w:rPr>
            <w:rFonts w:ascii="Arial" w:eastAsia="Hiragino Sans GB"/>
            <w:sz w:val="18"/>
            <w:color w:val="1C526C"/>
          </w:rPr>
          <w:t>W19  ReinFlow: Fine-tuning Flow Matching Policy with Online Reinforcement Learning</w:t>
        </w:r>
      </w:hyperlink>
    </w:p>
    <w:p>
      <w:pPr>
        <w:widowControl/>
      </w:pPr>
      <w:r>
        <w:rPr>
          <w:rFonts w:ascii="Arial" w:hAnsi="Arial" w:eastAsia="Hiragino Sans GB"/>
          <w:b w:val="0"/>
          <w:color w:val="555555"/>
          <w:sz w:val="17"/>
        </w:rPr>
        <w:t>https://arxiv.org/html/2505.22094v2</w:t>
      </w:r>
    </w:p>
    <w:p>
      <w:pPr>
        <w:spacing w:after="80"/>
      </w:pPr>
      <w:hyperlink r:id="rId48">
        <w:r>
          <w:rPr>
            <w:rFonts w:ascii="Arial" w:eastAsia="Hiragino Sans GB"/>
            <w:sz w:val="18"/>
            <w:color w:val="1C526C"/>
          </w:rPr>
          <w:t>W20  LIBERO-PRO official repository</w:t>
        </w:r>
      </w:hyperlink>
    </w:p>
    <w:p>
      <w:pPr>
        <w:widowControl/>
      </w:pPr>
      <w:r>
        <w:rPr>
          <w:rFonts w:ascii="Arial" w:hAnsi="Arial" w:eastAsia="Hiragino Sans GB"/>
          <w:b w:val="0"/>
          <w:color w:val="555555"/>
          <w:sz w:val="17"/>
        </w:rPr>
        <w:t>https://github.com/RLinf/LIBERO-PRO</w:t>
      </w:r>
    </w:p>
    <w:p>
      <w:pPr>
        <w:spacing w:after="80"/>
      </w:pPr>
      <w:hyperlink r:id="rId49">
        <w:r>
          <w:rPr>
            <w:rFonts w:ascii="Arial" w:eastAsia="Hiragino Sans GB"/>
            <w:sz w:val="18"/>
            <w:color w:val="1C526C"/>
          </w:rPr>
          <w:t>W21  Motus2 official code release status</w:t>
        </w:r>
      </w:hyperlink>
    </w:p>
    <w:p>
      <w:pPr>
        <w:widowControl/>
      </w:pPr>
      <w:r>
        <w:rPr>
          <w:rFonts w:ascii="Arial" w:hAnsi="Arial" w:eastAsia="Hiragino Sans GB"/>
          <w:b w:val="0"/>
          <w:color w:val="555555"/>
          <w:sz w:val="17"/>
        </w:rPr>
        <w:t>https://github.com/shengshu-ai/Motus2</w:t>
      </w:r>
    </w:p>
    <w:p>
      <w:pPr>
        <w:spacing w:after="80"/>
      </w:pPr>
      <w:hyperlink r:id="rId50">
        <w:r>
          <w:rPr>
            <w:rFonts w:ascii="Arial" w:eastAsia="Hiragino Sans GB"/>
            <w:sz w:val="18"/>
            <w:color w:val="1C526C"/>
          </w:rPr>
          <w:t>W22  Motus Team official model directory</w:t>
        </w:r>
      </w:hyperlink>
    </w:p>
    <w:p>
      <w:pPr>
        <w:widowControl/>
      </w:pPr>
      <w:r>
        <w:rPr>
          <w:rFonts w:ascii="Arial" w:hAnsi="Arial" w:eastAsia="Hiragino Sans GB"/>
          <w:b w:val="0"/>
          <w:color w:val="555555"/>
          <w:sz w:val="17"/>
        </w:rPr>
        <w:t>https://huggingface.co/motus-robotics</w:t>
      </w:r>
    </w:p>
    <w:sectPr w:rsidR="00FC693F" w:rsidRPr="0006063C" w:rsidSect="00034616">
      <w:footerReference w:type="default" r:id="rId9"/>
      <w:pgSz w:w="12240" w:h="15840"/>
      <w:pgMar w:top="965" w:right="1051" w:bottom="922" w:left="1051"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Hiragino Sans GB"/>
        <w:color w:val="777777"/>
        <w:sz w:val="16"/>
      </w:rPr>
      <w:t xml:space="preserve">具身智能模型 Harness 与推理性能研究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ind w:left="0" w:firstLine="0"/>
      <w:jc w:val="left"/>
    </w:pPr>
    <w:rPr>
      <w:rFonts w:ascii="Arial" w:hAnsi="Arial" w:eastAsia="Hiragino Sans GB"/>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69" w:lineRule="auto"/>
      <w:ind w:left="0" w:firstLine="0"/>
      <w:jc w:val="left"/>
      <w:outlineLvl w:val="0"/>
    </w:pPr>
    <w:rPr>
      <w:rFonts w:asciiTheme="majorHAnsi" w:eastAsiaTheme="majorEastAsia" w:hAnsiTheme="majorHAnsi" w:cstheme="majorBidi" w:ascii="Arial" w:hAnsi="Arial" w:eastAsia="Hiragino Sans GB"/>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69" w:lineRule="auto"/>
      <w:ind w:left="0" w:firstLine="0"/>
      <w:jc w:val="left"/>
      <w:outlineLvl w:val="1"/>
    </w:pPr>
    <w:rPr>
      <w:rFonts w:asciiTheme="majorHAnsi" w:eastAsiaTheme="majorEastAsia" w:hAnsiTheme="majorHAnsi" w:cstheme="majorBidi"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80" w:line="269" w:lineRule="auto"/>
      <w:ind w:left="0" w:firstLine="0"/>
      <w:jc w:val="left"/>
      <w:outlineLvl w:val="2"/>
    </w:pPr>
    <w:rPr>
      <w:rFonts w:asciiTheme="majorHAnsi" w:eastAsiaTheme="majorEastAsia" w:hAnsiTheme="majorHAnsi" w:cstheme="majorBidi"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spacing w:after="180" w:line="269" w:lineRule="auto"/>
      <w:ind w:left="0" w:firstLine="0"/>
      <w:contextualSpacing/>
      <w:jc w:val="left"/>
    </w:pPr>
    <w:rPr>
      <w:rFonts w:asciiTheme="majorHAnsi" w:eastAsiaTheme="majorEastAsia" w:hAnsiTheme="majorHAnsi" w:cstheme="majorBidi" w:ascii="Arial" w:hAnsi="Arial" w:eastAsia="Hiragino Sans G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69" w:lineRule="auto"/>
      <w:ind w:left="0" w:firstLine="0"/>
      <w:jc w:val="left"/>
    </w:pPr>
    <w:rPr>
      <w:rFonts w:asciiTheme="majorHAnsi" w:eastAsiaTheme="majorEastAsia" w:hAnsiTheme="majorHAnsi" w:cstheme="majorBidi" w:ascii="Arial" w:hAnsi="Arial"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2026-10-16-&#20855;&#36523;&#26234;&#33021;&#27979;&#35797;&#39033;&#30446;&#19982;&#25968;&#25454;&#27719;&#24635;.md" TargetMode="External"/><Relationship Id="rId14" Type="http://schemas.openxmlformats.org/officeDocument/2006/relationships/hyperlink" Target="../../2026_0914-0920_GPT6Astra&#35780;&#27979;&#22797;&#29616;/2026-09-16-bowl-eval-v1&#22235;&#27169;&#22411;&#24635;&#32467;&#25253;&#21578;.md" TargetMode="External"/><Relationship Id="rId15" Type="http://schemas.openxmlformats.org/officeDocument/2006/relationships/hyperlink" Target="../../2026_0921-0927_&#21516;&#26426;&#20223;&#30495;&#19982;&#20113;&#36793;&#39564;&#35777;/2026-09-22-LIBERO10-task0-Ori-init0-&#36880;&#36718;&#20915;&#31574;&#23454;&#24405;.md" TargetMode="External"/><Relationship Id="rId16" Type="http://schemas.openxmlformats.org/officeDocument/2006/relationships/hyperlink" Target="../../2026_0928-1004_RPent&#21452;&#33041;&#23545;&#29031;&#19982;&#22238;&#39304;/2026-10-01-RPent-Codex&#21452;&#27169;&#22411;120&#38598;&#32467;&#26524;.md" TargetMode="External"/><Relationship Id="rId17" Type="http://schemas.openxmlformats.org/officeDocument/2006/relationships/hyperlink" Target="../../2026_1005-1011_RPent&#25512;&#29702;&#24615;&#33021;&#20998;&#26512;/evidence/runtime-ledger.json" TargetMode="External"/><Relationship Id="rId18" Type="http://schemas.openxmlformats.org/officeDocument/2006/relationships/hyperlink" Target="../../2026_1005-1011_RPent&#25512;&#29702;&#24615;&#33021;&#20998;&#26512;/deep-report/report-data.json" TargetMode="External"/><Relationship Id="rId19" Type="http://schemas.openxmlformats.org/officeDocument/2006/relationships/hyperlink" Target="../ds-report/README.md" TargetMode="External"/><Relationship Id="rId20" Type="http://schemas.openxmlformats.org/officeDocument/2006/relationships/hyperlink" Target="data/ds_flash_v5_report_table.csv" TargetMode="External"/><Relationship Id="rId21" Type="http://schemas.openxmlformats.org/officeDocument/2006/relationships/hyperlink" Target="../2026-10-13-EmbodiedJev&#39033;&#30446;&#20998;&#26512;&#19982;RPent&#23545;&#27604;.md" TargetMode="External"/><Relationship Id="rId22" Type="http://schemas.openxmlformats.org/officeDocument/2006/relationships/hyperlink" Target="../../2026_0921-0927_&#21516;&#26426;&#20223;&#30495;&#19982;&#20113;&#36793;&#39564;&#35777;/2026-09-27-RPent&#25193;&#23637;-FlashMode&#19982;libero_goal.md" TargetMode="External"/><Relationship Id="rId23" Type="http://schemas.openxmlformats.org/officeDocument/2006/relationships/hyperlink" Target="../2026-10-15-COAP&#35770;&#25991;&#20998;&#26512;&#19982;RPent&#23454;&#39564;&#24314;&#35758;.md" TargetMode="External"/><Relationship Id="rId24" Type="http://schemas.openxmlformats.org/officeDocument/2006/relationships/hyperlink" Target="../2026-10-15-EmbodiedEvo&#20998;&#26512;&#19982;RPent&#32463;&#39564;&#22797;&#29992;&#23454;&#39564;&#24314;&#35758;.md" TargetMode="External"/><Relationship Id="rId25" Type="http://schemas.openxmlformats.org/officeDocument/2006/relationships/hyperlink" Target="../2026-10-13-VLM-VLA&#21452;&#33041;&#26550;&#26500;&#19982;&#25512;&#29702;&#20248;&#21270;&#35843;&#30740;.md" TargetMode="External"/><Relationship Id="rId26" Type="http://schemas.openxmlformats.org/officeDocument/2006/relationships/hyperlink" Target="../2026-10-14-Motus&#19982;910B3&#32852;&#21512;&#31471;&#21040;&#31471;RL&#23454;&#39564;&#39044;&#27880;&#20876;.md" TargetMode="External"/><Relationship Id="rId27" Type="http://schemas.openxmlformats.org/officeDocument/2006/relationships/hyperlink" Target="../2026-10-15-Motus&#32852;&#21512;&#35757;&#32451;&#30340;VLM&#19982;Wan&#27169;&#22411;&#36873;&#22411;&#26680;&#26597;.md" TargetMode="External"/><Relationship Id="rId28" Type="http://schemas.openxmlformats.org/officeDocument/2006/relationships/hyperlink" Target="../readme.md" TargetMode="External"/><Relationship Id="rId29" Type="http://schemas.openxmlformats.org/officeDocument/2006/relationships/hyperlink" Target="https://arxiv.org/html/2607.04434v1" TargetMode="External"/><Relationship Id="rId30" Type="http://schemas.openxmlformats.org/officeDocument/2006/relationships/hyperlink" Target="https://robodojo-benchmark.com/" TargetMode="External"/><Relationship Id="rId31" Type="http://schemas.openxmlformats.org/officeDocument/2006/relationships/hyperlink" Target="https://libero-project.github.io/datasets" TargetMode="External"/><Relationship Id="rId32" Type="http://schemas.openxmlformats.org/officeDocument/2006/relationships/hyperlink" Target="https://github.com/Lifelong-Robot-Learning/LIBERO" TargetMode="External"/><Relationship Id="rId33" Type="http://schemas.openxmlformats.org/officeDocument/2006/relationships/hyperlink" Target="https://arxiv.org/abs/2411.16537v5" TargetMode="External"/><Relationship Id="rId34" Type="http://schemas.openxmlformats.org/officeDocument/2006/relationships/hyperlink" Target="https://spatial-vlm.github.io/" TargetMode="External"/><Relationship Id="rId35" Type="http://schemas.openxmlformats.org/officeDocument/2006/relationships/hyperlink" Target="https://proceedings.mlr.press/v15/ross11a.html" TargetMode="External"/><Relationship Id="rId36" Type="http://schemas.openxmlformats.org/officeDocument/2006/relationships/hyperlink" Target="https://arxiv.org/abs/2606.11324v2" TargetMode="External"/><Relationship Id="rId37" Type="http://schemas.openxmlformats.org/officeDocument/2006/relationships/hyperlink" Target="https://arxiv.org/abs/2608.23138" TargetMode="External"/><Relationship Id="rId38" Type="http://schemas.openxmlformats.org/officeDocument/2006/relationships/hyperlink" Target="https://arxiv.org/abs/2508.13998" TargetMode="External"/><Relationship Id="rId39" Type="http://schemas.openxmlformats.org/officeDocument/2006/relationships/hyperlink" Target="https://arxiv.org/html/2610.12369v1" TargetMode="External"/><Relationship Id="rId40" Type="http://schemas.openxmlformats.org/officeDocument/2006/relationships/hyperlink" Target="https://arxiv.org/html/2610.18867v2" TargetMode="External"/><Relationship Id="rId41" Type="http://schemas.openxmlformats.org/officeDocument/2006/relationships/hyperlink" Target="https://arxiv.org/abs/2506.07339v2" TargetMode="External"/><Relationship Id="rId42" Type="http://schemas.openxmlformats.org/officeDocument/2006/relationships/hyperlink" Target="https://arxiv.org/html/2502.19417v2" TargetMode="External"/><Relationship Id="rId43" Type="http://schemas.openxmlformats.org/officeDocument/2006/relationships/hyperlink" Target="https://www.figure.ai/news/helix" TargetMode="External"/><Relationship Id="rId44" Type="http://schemas.openxmlformats.org/officeDocument/2006/relationships/hyperlink" Target="https://arxiv.org/abs/2512.13030v2" TargetMode="External"/><Relationship Id="rId45" Type="http://schemas.openxmlformats.org/officeDocument/2006/relationships/hyperlink" Target="https://arxiv.org/abs/2608.30237v2" TargetMode="External"/><Relationship Id="rId46" Type="http://schemas.openxmlformats.org/officeDocument/2006/relationships/hyperlink" Target="https://github.com/FBddcz/embodied-jev/blob/f08de2e4e20d6cd69fea9c57ac1062c3ef510f1e/src/embodied_jev/policies.py#L277-L313" TargetMode="External"/><Relationship Id="rId47" Type="http://schemas.openxmlformats.org/officeDocument/2006/relationships/hyperlink" Target="https://arxiv.org/html/2505.22094v2" TargetMode="External"/><Relationship Id="rId48" Type="http://schemas.openxmlformats.org/officeDocument/2006/relationships/hyperlink" Target="https://github.com/RLinf/LIBERO-PRO" TargetMode="External"/><Relationship Id="rId49" Type="http://schemas.openxmlformats.org/officeDocument/2006/relationships/hyperlink" Target="https://github.com/shengshu-ai/Motus2" TargetMode="External"/><Relationship Id="rId50" Type="http://schemas.openxmlformats.org/officeDocument/2006/relationships/hyperlink" Target="https://huggingface.co/motus-robo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具身智能模型 Harness 与推理性能研究报告</dc:title>
  <dc:subject>v3.0 测评背景 模型能力 Harness 精细计时 与协同训练路线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