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40"/>
      </w:pPr>
      <w:r>
        <w:t>具身智能推理性能评估与优化完整报告</w:t>
      </w:r>
    </w:p>
    <w:p>
      <w:pPr>
        <w:pStyle w:val="Subtitle"/>
        <w:widowControl/>
      </w:pPr>
      <w:r>
        <w:rPr>
          <w:rFonts w:ascii="Arial" w:hAnsi="Arial" w:eastAsia="Hiragino Sans GB"/>
          <w:b w:val="0"/>
          <w:color w:val="000000"/>
        </w:rPr>
        <w:t>GPT-as-Policy · GPT-6 Astra · RPent · DeepSeek</w:t>
        <w:br/>
        <w:t>实验结论与 low think JEV VLA 路线评估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</w:r>
      <w:r>
        <w:rPr>
          <w:rFonts w:ascii="Arial" w:hAnsi="Arial" w:eastAsia="Hiragino Sans GB"/>
          <w:b/>
          <w:color w:val="000000"/>
        </w:rPr>
        <w:t>版本 v1.0 · 2026年10月14日</w:t>
      </w:r>
      <w:r>
        <w:rPr>
          <w:rFonts w:ascii="Arial" w:hAnsi="Arial" w:eastAsia="Hiragino Sans GB"/>
          <w:b w:val="0"/>
          <w:color w:val="000000"/>
        </w:rPr>
        <w:br/>
        <w:t>覆盖 GPT-as-Policy、GPT-6 Astra bowl、RPent 双模型与 DeepSeek 性能实验，并评估 low think、JEV 决策和 Astra/JEV + VLA 的后续路线。</w:t>
      </w:r>
    </w:p>
    <w:p>
      <w:pPr>
        <w:pStyle w:val="Heading2"/>
      </w:pPr>
      <w:r>
        <w:t>核心结论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</w:r>
      <w:r>
        <w:rPr>
          <w:rFonts w:ascii="Arial" w:hAnsi="Arial" w:eastAsia="Hiragino Sans GB"/>
          <w:b/>
          <w:color w:val="000000"/>
        </w:rPr>
        <w:t>优化目标应同时覆盖单次请求耗时与决策轮数。</w:t>
      </w:r>
      <w:r>
        <w:rPr>
          <w:rFonts w:ascii="Arial" w:hAnsi="Arial" w:eastAsia="Hiragino Sans GB"/>
          <w:b w:val="0"/>
          <w:color w:val="000000"/>
        </w:rPr>
        <w:t xml:space="preserve"> RPent 120 集的动作执行占 44.3%，SDK 未覆盖工具的时段占 43.3%。后者含模型请求、网络、排队、重试与编排，不能全部归为 thinking。单独加速 π0.5 网络只能改善当前总耗时的一小部分。〔E3，S5–S7〕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</w:r>
      <w:r>
        <w:rPr>
          <w:rFonts w:ascii="Arial" w:hAnsi="Arial" w:eastAsia="Hiragino Sans GB"/>
          <w:b/>
          <w:color w:val="000000"/>
        </w:rPr>
        <w:t>已完成的实验建立了闭环基线，但尚未证明每轮大模型审核能稳定提高 VLA 成功率。</w:t>
      </w:r>
      <w:r>
        <w:rPr>
          <w:rFonts w:ascii="Arial" w:hAnsi="Arial" w:eastAsia="Hiragino Sans GB"/>
          <w:b w:val="0"/>
          <w:color w:val="000000"/>
        </w:rPr>
        <w:t xml:space="preserve"> GPT-as-Policy 九轨迹中的两条成功 Hybrid 轨迹均全程放行 Student，抽屉任务发生 13 次接管仍失败。RPent 120 集总体成功 99/120，主要弱项是 Long Swap。〔E3，S1、S5〕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</w:r>
      <w:r>
        <w:rPr>
          <w:rFonts w:ascii="Arial" w:hAnsi="Arial" w:eastAsia="Hiragino Sans GB"/>
          <w:b/>
          <w:color w:val="000000"/>
        </w:rPr>
        <w:t>low think 已有新的阶段性反馈。</w:t>
      </w:r>
      <w:r>
        <w:rPr>
          <w:rFonts w:ascii="Arial" w:hAnsi="Arial" w:eastAsia="Hiragino Sans GB"/>
          <w:b w:val="0"/>
          <w:color w:val="000000"/>
        </w:rPr>
        <w:t xml:space="preserve"> MT 最新实验报告 think 耗时由 4.6s 降至 1.4s，即该指标下降 69.6%、加速约 3.29 倍。该数据由用户转述，尚未附模型、样本量和阶段定义，按 E4 保留。它与历史 DeepSeek medium/none 对照属于两份独立证据。〔E4，S16；计算 E3〕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</w:r>
      <w:r>
        <w:rPr>
          <w:rFonts w:ascii="Arial" w:hAnsi="Arial" w:eastAsia="Hiragino Sans GB"/>
          <w:b/>
          <w:color w:val="000000"/>
        </w:rPr>
        <w:t>JEV 的合适角色是低延迟候选选择。</w:t>
      </w:r>
      <w:r>
        <w:rPr>
          <w:rFonts w:ascii="Arial" w:hAnsi="Arial" w:eastAsia="Hiragino Sans GB"/>
          <w:b w:val="0"/>
          <w:color w:val="000000"/>
        </w:rPr>
        <w:t xml:space="preserve"> 本地 EmbodiedJev 实现以文本状态和候选问题调用 Jev API，再由独立执行器动作；EmbodiedJev 项目 libero_v2 的执行器仍是数值伺服。Astra/JEV + VLA 是可验证的集成方向，当前没有该组合在 RPent 上的受控收益。〔E1/E3，S12、J1〕</w:t>
      </w:r>
    </w:p>
    <w:p>
      <w:pPr>
        <w:pStyle w:val="Heading2"/>
      </w:pPr>
      <w:r>
        <w:t>建议的推进顺序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92"/>
        <w:gridCol w:w="3816"/>
        <w:gridCol w:w="5530"/>
      </w:tblGrid>
      <w:tr>
        <w:trPr>
          <w:cantSplit/>
          <w:tblHeader/>
        </w:trPr>
        <w:tc>
          <w:tcPr>
            <w:tcW w:type="dxa" w:w="792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3816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工作</w:t>
            </w:r>
          </w:p>
        </w:tc>
        <w:tc>
          <w:tcPr>
            <w:tcW w:type="dxa" w:w="5530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验收结果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38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补齐 MT low think 元数据与统一计时</w:t>
            </w:r>
          </w:p>
        </w:tc>
        <w:tc>
          <w:tcPr>
            <w:tcW w:type="dxa" w:w="55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确认单次延迟改善，同时检查成功率、轮数与全部 attempt 成本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P1</w:t>
            </w:r>
          </w:p>
        </w:tc>
        <w:tc>
          <w:tcPr>
            <w:tcW w:type="dxa" w:w="3816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复合技能、进展检查和事件触发调用</w:t>
            </w:r>
          </w:p>
        </w:tc>
        <w:tc>
          <w:tcPr>
            <w:tcW w:type="dxa" w:w="553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减少大模型往返与失败恢复，保持成功判据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P2</w:t>
            </w:r>
          </w:p>
        </w:tc>
        <w:tc>
          <w:tcPr>
            <w:tcW w:type="dxa" w:w="38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固定候选的 JEV 选择器消融</w:t>
            </w:r>
          </w:p>
        </w:tc>
        <w:tc>
          <w:tcPr>
            <w:tcW w:type="dxa" w:w="55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隔离选择器增益，计入视觉候选生成和回退成本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P3</w:t>
            </w:r>
          </w:p>
        </w:tc>
        <w:tc>
          <w:tcPr>
            <w:tcW w:type="dxa" w:w="3816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Astra/JEV + VLA 异频执行与 NPU profile</w:t>
            </w:r>
          </w:p>
        </w:tc>
        <w:tc>
          <w:tcPr>
            <w:tcW w:type="dxa" w:w="553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检验闭环成功、观测新鲜度和动作 deadline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 实验范围与统一评价口径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本次汇总按实验协议分别呈现。任务、模型接入方式、thinking 档位、动作接口与成功谓词不同的实验，不合并为一个模型排行榜。下列数字描述各自报告中的有效样本，计划样本不计为完成量。〔E3〕</w:t>
      </w:r>
    </w:p>
    <w:p>
      <w:pPr>
        <w:widowControl/>
      </w:pPr>
      <w:r>
        <w:rPr>
          <w:rFonts w:ascii="Arial" w:hAnsi="Arial" w:eastAsia="Hiragino Sans GB"/>
          <w:b w:val="0"/>
          <w:color w:val="555555"/>
          <w:sz w:val="17"/>
        </w:rPr>
        <w:t>证据口径：E1 源码行号实证；E2 配置实证；E3 报告记载或推断；E4 未复核转述。本文引用已有实验报告的结果统一标 E3，不将历史报告里的实测标签直接升级为本次原始证据复核。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2952"/>
        <w:gridCol w:w="4810"/>
      </w:tblGrid>
      <w:tr>
        <w:trPr>
          <w:cantSplit/>
          <w:tblHeader/>
        </w:trPr>
        <w:tc>
          <w:tcPr>
            <w:tcW w:type="dxa" w:w="2376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实验</w:t>
            </w:r>
          </w:p>
        </w:tc>
        <w:tc>
          <w:tcPr>
            <w:tcW w:type="dxa" w:w="2952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已完成范围</w:t>
            </w:r>
          </w:p>
        </w:tc>
        <w:tc>
          <w:tcPr>
            <w:tcW w:type="dxa" w:w="4810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主要用途与边界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GPT-as-Policy LIBERO v2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3任务 × 3路线 = 9回合</w:t>
            </w:r>
          </w:p>
        </w:tc>
        <w:tc>
          <w:tcPr>
            <w:tcW w:type="dxa" w:w="48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Direct / Student / Hybrid；每格仅1条轨迹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bowl 原四模型</w:t>
            </w:r>
          </w:p>
        </w:tc>
        <w:tc>
          <w:tcPr>
            <w:tcW w:type="dxa" w:w="295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Astra 5；其余各20</w:t>
            </w:r>
          </w:p>
        </w:tc>
        <w:tc>
          <w:tcPr>
            <w:tcW w:type="dxa" w:w="481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原四批共65条有效轨迹，接入与并发不同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bowl 9/23补测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4组 × 5 seed = 20回合</w:t>
            </w:r>
          </w:p>
        </w:tc>
        <w:tc>
          <w:tcPr>
            <w:tcW w:type="dxa" w:w="48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Astra medium、Sol medium/ultra、Luna max分别统计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RPent 正式评测</w:t>
            </w:r>
          </w:p>
        </w:tc>
        <w:tc>
          <w:tcPr>
            <w:tcW w:type="dxa" w:w="295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2模型 × 3套件 × 20 = 120集</w:t>
            </w:r>
          </w:p>
        </w:tc>
        <w:tc>
          <w:tcPr>
            <w:tcW w:type="dxa" w:w="481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每任务seed0/1；最终入账attempt集合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RPent 深度计时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2场景 × 2模型 × 2 seed = 8集</w:t>
            </w:r>
          </w:p>
        </w:tc>
        <w:tc>
          <w:tcPr>
            <w:tcW w:type="dxa" w:w="48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独立补测，不并入120集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DeepSeek 两场景</w:t>
            </w:r>
          </w:p>
        </w:tc>
        <w:tc>
          <w:tcPr>
            <w:tcW w:type="dxa" w:w="295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原始8集与流式8集分开</w:t>
            </w:r>
          </w:p>
        </w:tc>
        <w:tc>
          <w:tcPr>
            <w:tcW w:type="dxa" w:w="481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流式medium/none各4集，t0成功、t9未完成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DeepSeek 专项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v5 15轮；Files API局11轮</w:t>
            </w:r>
          </w:p>
        </w:tc>
        <w:tc>
          <w:tcPr>
            <w:tcW w:type="dxa" w:w="48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两场独立轨迹；另有审计新增15请求主例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MT 最新 low think</w:t>
            </w:r>
          </w:p>
        </w:tc>
        <w:tc>
          <w:tcPr>
            <w:tcW w:type="dxa" w:w="295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4.6s降至1.4s</w:t>
            </w:r>
          </w:p>
        </w:tc>
        <w:tc>
          <w:tcPr>
            <w:tcW w:type="dxa" w:w="481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E4新反馈，样本量与实验配置待归档</w:t>
            </w:r>
          </w:p>
        </w:tc>
      </w:tr>
    </w:tbl>
    <w:p>
      <w:pPr>
        <w:spacing w:after="0"/>
      </w:pPr>
    </w:p>
    <w:p>
      <w:pPr>
        <w:pStyle w:val="Heading2"/>
      </w:pPr>
      <w:r>
        <w:t>性能指标的边界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</w:r>
      <w:r>
        <w:rPr>
          <w:rFonts w:ascii="Arial" w:hAnsi="Arial" w:eastAsia="Hiragino Sans GB"/>
          <w:b/>
          <w:color w:val="000000"/>
        </w:rPr>
        <w:t>任务层</w:t>
      </w:r>
      <w:r>
        <w:rPr>
          <w:rFonts w:ascii="Arial" w:hAnsi="Arial" w:eastAsia="Hiragino Sans GB"/>
          <w:b w:val="0"/>
          <w:color w:val="000000"/>
        </w:rPr>
        <w:t>同时报告成功率、每集成功时间、失败类型及全部尝试消耗。</w:t>
      </w:r>
      <w:r>
        <w:rPr>
          <w:rFonts w:ascii="Arial" w:hAnsi="Arial" w:eastAsia="Hiragino Sans GB"/>
          <w:b/>
          <w:color w:val="000000"/>
        </w:rPr>
        <w:t>决策层</w:t>
      </w:r>
      <w:r>
        <w:rPr>
          <w:rFonts w:ascii="Arial" w:hAnsi="Arial" w:eastAsia="Hiragino Sans GB"/>
          <w:b w:val="0"/>
          <w:color w:val="000000"/>
        </w:rPr>
        <w:t>区分逻辑决策、实际模型请求、传输重试和带 usage 的计量响应。</w:t>
      </w:r>
      <w:r>
        <w:rPr>
          <w:rFonts w:ascii="Arial" w:hAnsi="Arial" w:eastAsia="Hiragino Sans GB"/>
          <w:b/>
          <w:color w:val="000000"/>
        </w:rPr>
        <w:t>执行层</w:t>
      </w:r>
      <w:r>
        <w:rPr>
          <w:rFonts w:ascii="Arial" w:hAnsi="Arial" w:eastAsia="Hiragino Sans GB"/>
          <w:b w:val="0"/>
          <w:color w:val="000000"/>
        </w:rPr>
        <w:t>分别记录 VLA handler、动作原语、仿真与观测。串行段可按区间并集记账，父子 span 不重复相加。〔E3，S1、S6–S8〕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TTFT 是客户端首非空输出等待，包含上传、排队、服务计算和传输。可见 reasoning 窗口只反映客户端可见事件。按 token 比例拆出的 thinking/decode 是估算，均不能替代服务端 prefill 或完整 hidden thinking 时钟。〔E3，S6、S8〕</w:t>
      </w:r>
    </w:p>
    <w:p>
      <w:pPr>
        <w:widowControl/>
      </w:pPr>
      <w:r>
        <w:rPr>
          <w:rFonts w:ascii="Arial" w:hAnsi="Arial" w:eastAsia="Hiragino Sans GB"/>
          <w:b w:val="0"/>
          <w:color w:val="555555"/>
          <w:sz w:val="17"/>
        </w:rPr>
        <w:t>来源 S1–S11、S16。bowl 原四批和9/23补测分别保留；正式成功谓词与人工稳定放置审核不互相替代。</w:t>
      </w:r>
    </w:p>
    <w:p>
      <w:r>
        <w:br w:type="page"/>
      </w:r>
    </w:p>
    <w:p>
      <w:pPr>
        <w:pStyle w:val="Heading1"/>
      </w:pPr>
      <w:r>
        <w:t>2 GPT as Policy 三任务与三路线实验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LIBERO v2 使用 Astra/medium，高层 Direct 输出末端目标，Student 使用 π0.5，Hybrid 由 π 提候选再交 GPT 审核。九回合共有 610 轮决策、3008 控制步、428 轮调用 GPT。每格仅 init 0，实验含并发，不属于隔离吞吐基准。〔E3，S1〕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99"/>
        <w:gridCol w:w="1498"/>
        <w:gridCol w:w="936"/>
        <w:gridCol w:w="1051"/>
        <w:gridCol w:w="1872"/>
        <w:gridCol w:w="3082"/>
      </w:tblGrid>
      <w:tr>
        <w:trPr>
          <w:cantSplit/>
          <w:tblHeader/>
        </w:trPr>
        <w:tc>
          <w:tcPr>
            <w:tcW w:type="dxa" w:w="1699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任务</w:t>
            </w:r>
          </w:p>
        </w:tc>
        <w:tc>
          <w:tcPr>
            <w:tcW w:type="dxa" w:w="1498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路线</w:t>
            </w:r>
          </w:p>
        </w:tc>
        <w:tc>
          <w:tcPr>
            <w:tcW w:type="dxa" w:w="936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051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决策轮</w:t>
            </w:r>
          </w:p>
        </w:tc>
        <w:tc>
          <w:tcPr>
            <w:tcW w:type="dxa" w:w="1872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整轮均值s</w:t>
            </w:r>
          </w:p>
        </w:tc>
        <w:tc>
          <w:tcPr>
            <w:tcW w:type="dxa" w:w="3082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episode s</w:t>
            </w:r>
          </w:p>
        </w:tc>
      </w:tr>
      <w:tr>
        <w:trPr>
          <w:cantSplit/>
        </w:trPr>
        <w:tc>
          <w:tcPr>
            <w:tcW w:type="dxa" w:w="169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两罐入篮</w:t>
            </w:r>
          </w:p>
        </w:tc>
        <w:tc>
          <w:tcPr>
            <w:tcW w:type="dxa" w:w="149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Direct</w:t>
            </w:r>
          </w:p>
        </w:tc>
        <w:tc>
          <w:tcPr>
            <w:tcW w:type="dxa" w:w="93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成功</w:t>
            </w:r>
          </w:p>
        </w:tc>
        <w:tc>
          <w:tcPr>
            <w:tcW w:type="dxa" w:w="105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97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14.41</w:t>
            </w:r>
          </w:p>
        </w:tc>
        <w:tc>
          <w:tcPr>
            <w:tcW w:type="dxa" w:w="308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1428.97</w:t>
            </w:r>
          </w:p>
        </w:tc>
      </w:tr>
      <w:tr>
        <w:trPr>
          <w:cantSplit/>
        </w:trPr>
        <w:tc>
          <w:tcPr>
            <w:tcW w:type="dxa" w:w="1699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两罐入篮</w:t>
            </w:r>
          </w:p>
        </w:tc>
        <w:tc>
          <w:tcPr>
            <w:tcW w:type="dxa" w:w="1498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Student</w:t>
            </w:r>
          </w:p>
        </w:tc>
        <w:tc>
          <w:tcPr>
            <w:tcW w:type="dxa" w:w="936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成功</w:t>
            </w:r>
          </w:p>
        </w:tc>
        <w:tc>
          <w:tcPr>
            <w:tcW w:type="dxa" w:w="1051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52</w:t>
            </w:r>
          </w:p>
        </w:tc>
        <w:tc>
          <w:tcPr>
            <w:tcW w:type="dxa" w:w="187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4.20</w:t>
            </w:r>
          </w:p>
        </w:tc>
        <w:tc>
          <w:tcPr>
            <w:tcW w:type="dxa" w:w="308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248.71</w:t>
            </w:r>
          </w:p>
        </w:tc>
      </w:tr>
      <w:tr>
        <w:trPr>
          <w:cantSplit/>
        </w:trPr>
        <w:tc>
          <w:tcPr>
            <w:tcW w:type="dxa" w:w="169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两罐入篮</w:t>
            </w:r>
          </w:p>
        </w:tc>
        <w:tc>
          <w:tcPr>
            <w:tcW w:type="dxa" w:w="149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Hybrid</w:t>
            </w:r>
          </w:p>
        </w:tc>
        <w:tc>
          <w:tcPr>
            <w:tcW w:type="dxa" w:w="93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成功</w:t>
            </w:r>
          </w:p>
        </w:tc>
        <w:tc>
          <w:tcPr>
            <w:tcW w:type="dxa" w:w="105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51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18.82</w:t>
            </w:r>
          </w:p>
        </w:tc>
        <w:tc>
          <w:tcPr>
            <w:tcW w:type="dxa" w:w="308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991.09</w:t>
            </w:r>
          </w:p>
        </w:tc>
      </w:tr>
      <w:tr>
        <w:trPr>
          <w:cantSplit/>
        </w:trPr>
        <w:tc>
          <w:tcPr>
            <w:tcW w:type="dxa" w:w="1699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微波炉</w:t>
            </w:r>
          </w:p>
        </w:tc>
        <w:tc>
          <w:tcPr>
            <w:tcW w:type="dxa" w:w="1498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Direct</w:t>
            </w:r>
          </w:p>
        </w:tc>
        <w:tc>
          <w:tcPr>
            <w:tcW w:type="dxa" w:w="936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失败</w:t>
            </w:r>
          </w:p>
        </w:tc>
        <w:tc>
          <w:tcPr>
            <w:tcW w:type="dxa" w:w="1051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105</w:t>
            </w:r>
          </w:p>
        </w:tc>
        <w:tc>
          <w:tcPr>
            <w:tcW w:type="dxa" w:w="187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17.36</w:t>
            </w:r>
          </w:p>
        </w:tc>
        <w:tc>
          <w:tcPr>
            <w:tcW w:type="dxa" w:w="308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1848.50</w:t>
            </w:r>
          </w:p>
        </w:tc>
      </w:tr>
      <w:tr>
        <w:trPr>
          <w:cantSplit/>
        </w:trPr>
        <w:tc>
          <w:tcPr>
            <w:tcW w:type="dxa" w:w="169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微波炉</w:t>
            </w:r>
          </w:p>
        </w:tc>
        <w:tc>
          <w:tcPr>
            <w:tcW w:type="dxa" w:w="149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Student</w:t>
            </w:r>
          </w:p>
        </w:tc>
        <w:tc>
          <w:tcPr>
            <w:tcW w:type="dxa" w:w="93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成功</w:t>
            </w:r>
          </w:p>
        </w:tc>
        <w:tc>
          <w:tcPr>
            <w:tcW w:type="dxa" w:w="105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70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3.41</w:t>
            </w:r>
          </w:p>
        </w:tc>
        <w:tc>
          <w:tcPr>
            <w:tcW w:type="dxa" w:w="308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262.34</w:t>
            </w:r>
          </w:p>
        </w:tc>
      </w:tr>
      <w:tr>
        <w:trPr>
          <w:cantSplit/>
        </w:trPr>
        <w:tc>
          <w:tcPr>
            <w:tcW w:type="dxa" w:w="1699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微波炉</w:t>
            </w:r>
          </w:p>
        </w:tc>
        <w:tc>
          <w:tcPr>
            <w:tcW w:type="dxa" w:w="1498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Hybrid</w:t>
            </w:r>
          </w:p>
        </w:tc>
        <w:tc>
          <w:tcPr>
            <w:tcW w:type="dxa" w:w="936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成功</w:t>
            </w:r>
          </w:p>
        </w:tc>
        <w:tc>
          <w:tcPr>
            <w:tcW w:type="dxa" w:w="1051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51</w:t>
            </w:r>
          </w:p>
        </w:tc>
        <w:tc>
          <w:tcPr>
            <w:tcW w:type="dxa" w:w="187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19.65</w:t>
            </w:r>
          </w:p>
        </w:tc>
        <w:tc>
          <w:tcPr>
            <w:tcW w:type="dxa" w:w="308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1026.64</w:t>
            </w:r>
          </w:p>
        </w:tc>
      </w:tr>
      <w:tr>
        <w:trPr>
          <w:cantSplit/>
        </w:trPr>
        <w:tc>
          <w:tcPr>
            <w:tcW w:type="dxa" w:w="169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底层抽屉</w:t>
            </w:r>
          </w:p>
        </w:tc>
        <w:tc>
          <w:tcPr>
            <w:tcW w:type="dxa" w:w="149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Direct</w:t>
            </w:r>
          </w:p>
        </w:tc>
        <w:tc>
          <w:tcPr>
            <w:tcW w:type="dxa" w:w="93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失败</w:t>
            </w:r>
          </w:p>
        </w:tc>
        <w:tc>
          <w:tcPr>
            <w:tcW w:type="dxa" w:w="105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64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19.11</w:t>
            </w:r>
          </w:p>
        </w:tc>
        <w:tc>
          <w:tcPr>
            <w:tcW w:type="dxa" w:w="308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1254.40</w:t>
            </w:r>
          </w:p>
        </w:tc>
      </w:tr>
      <w:tr>
        <w:trPr>
          <w:cantSplit/>
        </w:trPr>
        <w:tc>
          <w:tcPr>
            <w:tcW w:type="dxa" w:w="1699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底层抽屉</w:t>
            </w:r>
          </w:p>
        </w:tc>
        <w:tc>
          <w:tcPr>
            <w:tcW w:type="dxa" w:w="1498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Student</w:t>
            </w:r>
          </w:p>
        </w:tc>
        <w:tc>
          <w:tcPr>
            <w:tcW w:type="dxa" w:w="936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失败</w:t>
            </w:r>
          </w:p>
        </w:tc>
        <w:tc>
          <w:tcPr>
            <w:tcW w:type="dxa" w:w="1051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60</w:t>
            </w:r>
          </w:p>
        </w:tc>
        <w:tc>
          <w:tcPr>
            <w:tcW w:type="dxa" w:w="187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4.42</w:t>
            </w:r>
          </w:p>
        </w:tc>
        <w:tc>
          <w:tcPr>
            <w:tcW w:type="dxa" w:w="308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296.02</w:t>
            </w:r>
          </w:p>
        </w:tc>
      </w:tr>
      <w:tr>
        <w:trPr>
          <w:cantSplit/>
        </w:trPr>
        <w:tc>
          <w:tcPr>
            <w:tcW w:type="dxa" w:w="169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底层抽屉</w:t>
            </w:r>
          </w:p>
        </w:tc>
        <w:tc>
          <w:tcPr>
            <w:tcW w:type="dxa" w:w="149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Hybrid</w:t>
            </w:r>
          </w:p>
        </w:tc>
        <w:tc>
          <w:tcPr>
            <w:tcW w:type="dxa" w:w="93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失败</w:t>
            </w:r>
          </w:p>
        </w:tc>
        <w:tc>
          <w:tcPr>
            <w:tcW w:type="dxa" w:w="105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60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22.43</w:t>
            </w:r>
          </w:p>
        </w:tc>
        <w:tc>
          <w:tcPr>
            <w:tcW w:type="dxa" w:w="308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1377.62</w:t>
            </w:r>
          </w:p>
        </w:tc>
      </w:tr>
    </w:tbl>
    <w:p>
      <w:pPr>
        <w:spacing w:after="0"/>
      </w:pPr>
    </w:p>
    <w:p>
      <w:pPr>
        <w:pStyle w:val="Heading2"/>
      </w:pPr>
      <w:r>
        <w:t>实验能够支持的结论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两罐任务中，GPT 请求均值为 Direct 10.82s、Hybrid 14.37s，约占对应整轮时间的 75.1% 和 76.4%。Hybrid 的 π 推理含同步均值只有 0.53s。Student 的 4.20s 整轮中，渲染读回均值 2.77s，约占 66%。因此大模型往返和仿真观测成本比 π 单次计算更突出。〔E3，S1〕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成功的罐子与微波炉 Hybrid 各 51 轮全放行 Student；底层抽屉 13 次接管仍失败。可以说本次 Direct 成功1/3、Student与Hybrid各2/3，但这只是跨任务九条轨迹的描述。π 随机状态未配对，微波炉 Hybrid 又来自补跑，轮数差异不能直接归因 GPT 纠错。〔E3，S1〕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本批支持后续测试按需审核与异常触发：正常动作块可由 VLA 连续执行，阶段结束或出现无进展再请求高层。是否提高成功率、减少轮数仍需消融。〔E3，设计〕</w:t>
      </w:r>
    </w:p>
    <w:p>
      <w:pPr>
        <w:widowControl/>
      </w:pPr>
      <w:r>
        <w:rPr>
          <w:rFonts w:ascii="Arial" w:hAnsi="Arial" w:eastAsia="Hiragino Sans GB"/>
          <w:b w:val="0"/>
          <w:color w:val="555555"/>
          <w:sz w:val="17"/>
        </w:rPr>
        <w:t>整轮均值对应决策循环；episode 边界包含额外初始化等成本，二者不可直接相乘代替。原计划与RoboTwin选型为S2、S9，未计入已跑结果。</w:t>
      </w:r>
    </w:p>
    <w:p>
      <w:r>
        <w:br w:type="page"/>
      </w:r>
    </w:p>
    <w:p>
      <w:pPr>
        <w:pStyle w:val="Heading1"/>
      </w:pPr>
      <w:r>
        <w:t>3 bowl 多模型对照与能力瓶颈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bowl 任务是 Panda 单臂将红块放入蓝碗。每条轨迹最多 20 次 LLM 调用及 900 控制步，等待决策时物理暂停。模型需要依据三视角图像与机器人状态闭环操作。以下为 9/23 同 seed2005–2009 的串行补测。〔E3，S3、S4〕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56"/>
        <w:gridCol w:w="1872"/>
        <w:gridCol w:w="2160"/>
        <w:gridCol w:w="2650"/>
      </w:tblGrid>
      <w:tr>
        <w:trPr>
          <w:cantSplit/>
          <w:tblHeader/>
        </w:trPr>
        <w:tc>
          <w:tcPr>
            <w:tcW w:type="dxa" w:w="3456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20"/>
              </w:rPr>
              <w:t>模型与档位</w:t>
            </w:r>
          </w:p>
        </w:tc>
        <w:tc>
          <w:tcPr>
            <w:tcW w:type="dxa" w:w="1872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20"/>
              </w:rPr>
              <w:t>自动入碗</w:t>
            </w:r>
          </w:p>
        </w:tc>
        <w:tc>
          <w:tcPr>
            <w:tcW w:type="dxa" w:w="2160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20"/>
              </w:rPr>
              <w:t>平均决策轮</w:t>
            </w:r>
          </w:p>
        </w:tc>
        <w:tc>
          <w:tcPr>
            <w:tcW w:type="dxa" w:w="2650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20"/>
              </w:rPr>
              <w:t>平均墙钟s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Astra medium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5/5</w:t>
            </w:r>
          </w:p>
        </w:tc>
        <w:tc>
          <w:tcPr>
            <w:tcW w:type="dxa" w:w="216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16.0</w:t>
            </w:r>
          </w:p>
        </w:tc>
        <w:tc>
          <w:tcPr>
            <w:tcW w:type="dxa" w:w="265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336.11</w:t>
            </w:r>
          </w:p>
        </w:tc>
      </w:tr>
      <w:tr>
        <w:trPr>
          <w:cantSplit/>
        </w:trPr>
        <w:tc>
          <w:tcPr>
            <w:tcW w:type="dxa" w:w="3456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Sol medium</w:t>
            </w:r>
          </w:p>
        </w:tc>
        <w:tc>
          <w:tcPr>
            <w:tcW w:type="dxa" w:w="187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2/5</w:t>
            </w:r>
          </w:p>
        </w:tc>
        <w:tc>
          <w:tcPr>
            <w:tcW w:type="dxa" w:w="216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18.2</w:t>
            </w:r>
          </w:p>
        </w:tc>
        <w:tc>
          <w:tcPr>
            <w:tcW w:type="dxa" w:w="265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547.09</w:t>
            </w:r>
          </w:p>
        </w:tc>
      </w:tr>
      <w:tr>
        <w:trPr>
          <w:cantSplit/>
        </w:trPr>
        <w:tc>
          <w:tcPr>
            <w:tcW w:type="dxa" w:w="345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Sol ultra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3/5</w:t>
            </w:r>
          </w:p>
        </w:tc>
        <w:tc>
          <w:tcPr>
            <w:tcW w:type="dxa" w:w="216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17.6</w:t>
            </w:r>
          </w:p>
        </w:tc>
        <w:tc>
          <w:tcPr>
            <w:tcW w:type="dxa" w:w="265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600.63</w:t>
            </w:r>
          </w:p>
        </w:tc>
      </w:tr>
      <w:tr>
        <w:trPr>
          <w:cantSplit/>
        </w:trPr>
        <w:tc>
          <w:tcPr>
            <w:tcW w:type="dxa" w:w="3456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Luna max</w:t>
            </w:r>
          </w:p>
        </w:tc>
        <w:tc>
          <w:tcPr>
            <w:tcW w:type="dxa" w:w="187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0/5</w:t>
            </w:r>
          </w:p>
        </w:tc>
        <w:tc>
          <w:tcPr>
            <w:tcW w:type="dxa" w:w="216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19.6</w:t>
            </w:r>
          </w:p>
        </w:tc>
        <w:tc>
          <w:tcPr>
            <w:tcW w:type="dxa" w:w="265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1969.76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自动入碗成功的 Astra/Sol 轨迹在报告中仍标注稳定放置的 stage3–4 边界：录像接近首次着地即结束，不能统一改写成稳定放置已确认。Sol medium 与 ultra 仅各5条；ultra 新成功的 seed 与 medium 独有成功的 seed 并存，不构成逐 seed 的单向改善。〔E3，S3〕</w:t>
      </w:r>
    </w:p>
    <w:p>
      <w:pPr>
        <w:pStyle w:val="Heading2"/>
      </w:pPr>
      <w:r>
        <w:t>原四模型批次的定位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原四批自动入碗为 Astra 5/5、GLM 0/20、DeepSeek 1/20、Qwen 4/20。Astra 只有5条有效，不能写20/20。原四批存在供应商、worker、并发与实际档位差异；Qwen 实际为 xhigh，GLM/DeepSeek 后端档位未暴露。耗时差反映模型与接入链路的共同作用。〔E3，S3〕</w:t>
      </w:r>
    </w:p>
    <w:p>
      <w:pPr>
        <w:pStyle w:val="Heading2"/>
      </w:pPr>
      <w:r>
        <w:t>失败集中在感知与执行闭环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原三家对照中48/60停在stage0–1，包含定位不收敛、抓持状态误判、动作跟随不足和预算耗尽。工具的步数与夹爪参数会改变运动结果，目标跟随残差不能叫视觉定位误差。仅缩短 thinking 可能减少等待，也可能增加错误动作和后续轮数。〔E3，S3〕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技术含义是将空间状态、抓持确认与局部执行放入可验证的反馈回路，再决定何时需要高层推理。bowl 结果支持研究这个方向，不提供真机双臂泛化或所有模型能力排名。〔E3〕</w:t>
      </w:r>
    </w:p>
    <w:p>
      <w:pPr>
        <w:widowControl/>
      </w:pPr>
      <w:r>
        <w:rPr>
          <w:rFonts w:ascii="Arial" w:hAnsi="Arial" w:eastAsia="Hiragino Sans GB"/>
          <w:b w:val="0"/>
          <w:color w:val="555555"/>
          <w:sz w:val="17"/>
        </w:rPr>
        <w:t>S3为v1.2（2026-09-23），文件名仍含9/16。S4为v1.1，已更正原先误派Astra为真实Astra身份；模型展示标签不决定实际模型。</w:t>
      </w:r>
    </w:p>
    <w:p>
      <w:r>
        <w:br w:type="page"/>
      </w:r>
    </w:p>
    <w:p>
      <w:pPr>
        <w:pStyle w:val="Heading1"/>
      </w:pPr>
      <w:r>
        <w:t>4 RPent 120 集正式结果与时间账本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Astra、Sol均使用medium，各60集，三套件各20集；120个计划身份全部审定，成功99集、失败21集。成功按冻结环境 terminated 谓词判定。〔E3，S5〕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62"/>
        <w:gridCol w:w="1642"/>
        <w:gridCol w:w="1642"/>
        <w:gridCol w:w="2246"/>
        <w:gridCol w:w="2246"/>
      </w:tblGrid>
      <w:tr>
        <w:trPr>
          <w:cantSplit/>
          <w:tblHeader/>
        </w:trPr>
        <w:tc>
          <w:tcPr>
            <w:tcW w:type="dxa" w:w="2362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套件</w:t>
            </w:r>
          </w:p>
        </w:tc>
        <w:tc>
          <w:tcPr>
            <w:tcW w:type="dxa" w:w="1642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Astra成功</w:t>
            </w:r>
          </w:p>
        </w:tc>
        <w:tc>
          <w:tcPr>
            <w:tcW w:type="dxa" w:w="1642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Sol成功</w:t>
            </w:r>
          </w:p>
        </w:tc>
        <w:tc>
          <w:tcPr>
            <w:tcW w:type="dxa" w:w="2246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Astra均值s</w:t>
            </w:r>
          </w:p>
        </w:tc>
        <w:tc>
          <w:tcPr>
            <w:tcW w:type="dxa" w:w="2246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Sol均值s</w:t>
            </w:r>
          </w:p>
        </w:tc>
      </w:tr>
      <w:tr>
        <w:trPr>
          <w:cantSplit/>
        </w:trPr>
        <w:tc>
          <w:tcPr>
            <w:tcW w:type="dxa" w:w="236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Spatial Task</w:t>
            </w:r>
          </w:p>
        </w:tc>
        <w:tc>
          <w:tcPr>
            <w:tcW w:type="dxa" w:w="164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19/20</w:t>
            </w:r>
          </w:p>
        </w:tc>
        <w:tc>
          <w:tcPr>
            <w:tcW w:type="dxa" w:w="164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17/20</w:t>
            </w:r>
          </w:p>
        </w:tc>
        <w:tc>
          <w:tcPr>
            <w:tcW w:type="dxa" w:w="224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787.4</w:t>
            </w:r>
          </w:p>
        </w:tc>
        <w:tc>
          <w:tcPr>
            <w:tcW w:type="dxa" w:w="224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1248.6</w:t>
            </w:r>
          </w:p>
        </w:tc>
      </w:tr>
      <w:tr>
        <w:trPr>
          <w:cantSplit/>
        </w:trPr>
        <w:tc>
          <w:tcPr>
            <w:tcW w:type="dxa" w:w="236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Spatial Swap</w:t>
            </w:r>
          </w:p>
        </w:tc>
        <w:tc>
          <w:tcPr>
            <w:tcW w:type="dxa" w:w="164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20/20</w:t>
            </w:r>
          </w:p>
        </w:tc>
        <w:tc>
          <w:tcPr>
            <w:tcW w:type="dxa" w:w="164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20/20</w:t>
            </w:r>
          </w:p>
        </w:tc>
        <w:tc>
          <w:tcPr>
            <w:tcW w:type="dxa" w:w="2246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586.9</w:t>
            </w:r>
          </w:p>
        </w:tc>
        <w:tc>
          <w:tcPr>
            <w:tcW w:type="dxa" w:w="2246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943.7</w:t>
            </w:r>
          </w:p>
        </w:tc>
      </w:tr>
      <w:tr>
        <w:trPr>
          <w:cantSplit/>
        </w:trPr>
        <w:tc>
          <w:tcPr>
            <w:tcW w:type="dxa" w:w="236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Long Swap</w:t>
            </w:r>
          </w:p>
        </w:tc>
        <w:tc>
          <w:tcPr>
            <w:tcW w:type="dxa" w:w="164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11/20</w:t>
            </w:r>
          </w:p>
        </w:tc>
        <w:tc>
          <w:tcPr>
            <w:tcW w:type="dxa" w:w="164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12/20</w:t>
            </w:r>
          </w:p>
        </w:tc>
        <w:tc>
          <w:tcPr>
            <w:tcW w:type="dxa" w:w="224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973.7</w:t>
            </w:r>
          </w:p>
        </w:tc>
        <w:tc>
          <w:tcPr>
            <w:tcW w:type="dxa" w:w="224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1630.1</w:t>
            </w:r>
          </w:p>
        </w:tc>
      </w:tr>
      <w:tr>
        <w:trPr>
          <w:cantSplit/>
        </w:trPr>
        <w:tc>
          <w:tcPr>
            <w:tcW w:type="dxa" w:w="236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总计</w:t>
            </w:r>
          </w:p>
        </w:tc>
        <w:tc>
          <w:tcPr>
            <w:tcW w:type="dxa" w:w="164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50/60</w:t>
            </w:r>
          </w:p>
        </w:tc>
        <w:tc>
          <w:tcPr>
            <w:tcW w:type="dxa" w:w="164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49/60</w:t>
            </w:r>
          </w:p>
        </w:tc>
        <w:tc>
          <w:tcPr>
            <w:tcW w:type="dxa" w:w="2246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13.04h累计</w:t>
            </w:r>
          </w:p>
        </w:tc>
        <w:tc>
          <w:tcPr>
            <w:tcW w:type="dxa" w:w="2246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21.24h累计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Astra总计多成功1集，Long Swap则Sol多1集。样本不足以宣布普遍能力胜负。耗时包含失败与会话内连接等待；Sol有一条5348.4s的已审定中断等待轨迹。累计时间不等于双线并行实验的日历时长。〔E3，S5〕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04"/>
        <w:gridCol w:w="1642"/>
        <w:gridCol w:w="1613"/>
        <w:gridCol w:w="4579"/>
      </w:tblGrid>
      <w:tr>
        <w:trPr>
          <w:cantSplit/>
          <w:tblHeader/>
        </w:trPr>
        <w:tc>
          <w:tcPr>
            <w:tcW w:type="dxa" w:w="2304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互斥时间桶</w:t>
            </w:r>
          </w:p>
        </w:tc>
        <w:tc>
          <w:tcPr>
            <w:tcW w:type="dxa" w:w="1642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累计s</w:t>
            </w:r>
          </w:p>
        </w:tc>
        <w:tc>
          <w:tcPr>
            <w:tcW w:type="dxa" w:w="1613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占episode</w:t>
            </w:r>
          </w:p>
        </w:tc>
        <w:tc>
          <w:tcPr>
            <w:tcW w:type="dxa" w:w="4579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可解释范围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非π动作原语</w:t>
            </w:r>
          </w:p>
        </w:tc>
        <w:tc>
          <w:tcPr>
            <w:tcW w:type="dxa" w:w="164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45327.6</w:t>
            </w:r>
          </w:p>
        </w:tc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36.7%</w:t>
            </w:r>
          </w:p>
        </w:tc>
        <w:tc>
          <w:tcPr>
            <w:tcW w:type="dxa" w:w="457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控制、step、步内观测等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π0.5动作原语</w:t>
            </w:r>
          </w:p>
        </w:tc>
        <w:tc>
          <w:tcPr>
            <w:tcW w:type="dxa" w:w="164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9367.1</w:t>
            </w:r>
          </w:p>
        </w:tc>
        <w:tc>
          <w:tcPr>
            <w:tcW w:type="dxa" w:w="1613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7.6%</w:t>
            </w:r>
          </w:p>
        </w:tc>
        <w:tc>
          <w:tcPr>
            <w:tcW w:type="dxa" w:w="4579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前向、chunk执行与往返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工具附加</w:t>
            </w:r>
          </w:p>
        </w:tc>
        <w:tc>
          <w:tcPr>
            <w:tcW w:type="dxa" w:w="164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12429.8</w:t>
            </w:r>
          </w:p>
        </w:tc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10.1%</w:t>
            </w:r>
          </w:p>
        </w:tc>
        <w:tc>
          <w:tcPr>
            <w:tcW w:type="dxa" w:w="457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工具外围、采集与协议混合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SDK非工具时段</w:t>
            </w:r>
          </w:p>
        </w:tc>
        <w:tc>
          <w:tcPr>
            <w:tcW w:type="dxa" w:w="164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53394.0</w:t>
            </w:r>
          </w:p>
        </w:tc>
        <w:tc>
          <w:tcPr>
            <w:tcW w:type="dxa" w:w="1613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43.3%</w:t>
            </w:r>
          </w:p>
        </w:tc>
        <w:tc>
          <w:tcPr>
            <w:tcW w:type="dxa" w:w="4579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请求、输出、网络、排队及重试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SDK外壳</w:t>
            </w:r>
          </w:p>
        </w:tc>
        <w:tc>
          <w:tcPr>
            <w:tcW w:type="dxa" w:w="164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2889.9</w:t>
            </w:r>
          </w:p>
        </w:tc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2.3%</w:t>
            </w:r>
          </w:p>
        </w:tc>
        <w:tc>
          <w:tcPr>
            <w:tcW w:type="dxa" w:w="457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episode内启动收尾等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五桶合计123408.4s，约34.28h。单独VLA加载5.78h另计。动作两桶共44.3%，SDK非工具43.3%。优化优先级应同时覆盖动作重复和高层等待。即便固定轨迹下将π动作整桶清零，总体上限也约1.082倍，纯网络前向加速收益更小。〔E3，S6，按原始桶值计算〕</w:t>
      </w:r>
    </w:p>
    <w:p>
      <w:pPr>
        <w:widowControl/>
      </w:pPr>
      <w:r>
        <w:rPr>
          <w:rFonts w:ascii="Arial" w:hAnsi="Arial" w:eastAsia="Hiragino Sans GB"/>
          <w:b w:val="0"/>
          <w:color w:val="555555"/>
          <w:sz w:val="17"/>
        </w:rPr>
        <w:t>5014是去重后带用量的计量响应，不等于全部真实请求。上述桶已包含内部子阶段，不再叠加sim/render/π/SAM。</w:t>
      </w:r>
    </w:p>
    <w:p>
      <w:r>
        <w:br w:type="page"/>
      </w:r>
    </w:p>
    <w:p>
      <w:pPr>
        <w:pStyle w:val="Heading1"/>
      </w:pPr>
      <w:r>
        <w:t>5 独立深度计时揭示执行侧边界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Astra/Sol 两场景深度补测共8集，t0两罐入篮3/4成功，t9微波炉0/4成功，合计3/8。episode累计10965.30s。它提供本地细阶段计时，但不是120集的逐项补齐，也不代表两个任务以外的平均表现。〔E3，S7〕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02"/>
        <w:gridCol w:w="1699"/>
        <w:gridCol w:w="1944"/>
        <w:gridCol w:w="4392"/>
      </w:tblGrid>
      <w:tr>
        <w:trPr>
          <w:cantSplit/>
          <w:tblHeader/>
        </w:trPr>
        <w:tc>
          <w:tcPr>
            <w:tcW w:type="dxa" w:w="2102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观察量</w:t>
            </w:r>
          </w:p>
        </w:tc>
        <w:tc>
          <w:tcPr>
            <w:tcW w:type="dxa" w:w="1699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8集累计</w:t>
            </w:r>
          </w:p>
        </w:tc>
        <w:tc>
          <w:tcPr>
            <w:tcW w:type="dxa" w:w="1944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同批episode占比</w:t>
            </w:r>
          </w:p>
        </w:tc>
        <w:tc>
          <w:tcPr>
            <w:tcW w:type="dxa" w:w="4392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解释</w:t>
            </w:r>
          </w:p>
        </w:tc>
      </w:tr>
      <w:tr>
        <w:trPr>
          <w:cantSplit/>
        </w:trPr>
        <w:tc>
          <w:tcPr>
            <w:tcW w:type="dxa" w:w="210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原语窗内渲染</w:t>
            </w:r>
          </w:p>
        </w:tc>
        <w:tc>
          <w:tcPr>
            <w:tcW w:type="dxa" w:w="169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4391.18s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40.05%</w:t>
            </w:r>
          </w:p>
        </w:tc>
        <w:tc>
          <w:tcPr>
            <w:tcW w:type="dxa" w:w="439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inclusive子阶段</w:t>
            </w:r>
          </w:p>
        </w:tc>
      </w:tr>
      <w:tr>
        <w:trPr>
          <w:cantSplit/>
        </w:trPr>
        <w:tc>
          <w:tcPr>
            <w:tcW w:type="dxa" w:w="210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物理step1+step2</w:t>
            </w:r>
          </w:p>
        </w:tc>
        <w:tc>
          <w:tcPr>
            <w:tcW w:type="dxa" w:w="1699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121.48s</w:t>
            </w:r>
          </w:p>
        </w:tc>
        <w:tc>
          <w:tcPr>
            <w:tcW w:type="dxa" w:w="194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1.11%</w:t>
            </w:r>
          </w:p>
        </w:tc>
        <w:tc>
          <w:tcPr>
            <w:tcW w:type="dxa" w:w="439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不含所有控制和观测</w:t>
            </w:r>
          </w:p>
        </w:tc>
      </w:tr>
      <w:tr>
        <w:trPr>
          <w:cantSplit/>
        </w:trPr>
        <w:tc>
          <w:tcPr>
            <w:tcW w:type="dxa" w:w="210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π handler</w:t>
            </w:r>
          </w:p>
        </w:tc>
        <w:tc>
          <w:tcPr>
            <w:tcW w:type="dxa" w:w="169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198.65s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1.81%</w:t>
            </w:r>
          </w:p>
        </w:tc>
        <w:tc>
          <w:tcPr>
            <w:tcW w:type="dxa" w:w="439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371次，含其内部阶段</w:t>
            </w:r>
          </w:p>
        </w:tc>
      </w:tr>
      <w:tr>
        <w:trPr>
          <w:cantSplit/>
        </w:trPr>
        <w:tc>
          <w:tcPr>
            <w:tcW w:type="dxa" w:w="210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完整π动作</w:t>
            </w:r>
          </w:p>
        </w:tc>
        <w:tc>
          <w:tcPr>
            <w:tcW w:type="dxa" w:w="1699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1110.09s</w:t>
            </w:r>
          </w:p>
        </w:tc>
        <w:tc>
          <w:tcPr>
            <w:tcW w:type="dxa" w:w="194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10.12%</w:t>
            </w:r>
          </w:p>
        </w:tc>
        <w:tc>
          <w:tcPr>
            <w:tcW w:type="dxa" w:w="439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包含动作块执行等开销</w:t>
            </w:r>
          </w:p>
        </w:tc>
      </w:tr>
      <w:tr>
        <w:trPr>
          <w:cantSplit/>
        </w:trPr>
        <w:tc>
          <w:tcPr>
            <w:tcW w:type="dxa" w:w="210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SDK非工具</w:t>
            </w:r>
          </w:p>
        </w:tc>
        <w:tc>
          <w:tcPr>
            <w:tcW w:type="dxa" w:w="169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4187.54s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38.19%</w:t>
            </w:r>
          </w:p>
        </w:tc>
        <w:tc>
          <w:tcPr>
            <w:tcW w:type="dxa" w:w="439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仍不能等同纯thinking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各行存在包含关系，不能相加为总耗时。π handler只是完整π动作的一部分。固定轨迹、无额外开销且handler完全在关键路径的理想条件下，handler加速一倍最多节省约0.91%的整批episode时间。这是预算上限，不是已实现加速。〔E3，计算〕</w:t>
      </w:r>
    </w:p>
    <w:p>
      <w:pPr>
        <w:pStyle w:val="Heading2"/>
      </w:pPr>
      <w:r>
        <w:t>后续以决策与恢复为主要优化对象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深度计时报告已将渲染从后续优化目标中排除。扣除已测原语窗渲染后的辅助量为6574.12s，仍不等于真机时间。若这一辅助量需下降10%，需节省约657.41s；全部从SDK非工具时段取得时，该项需下降约15.70%。〔E3，S7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长恢复段常同时增加动作、感知和下一轮请求。应先设计抓持确认、位移进展检查、有限重试与失败分类，避免在错误状态下重复同一动作。候选最短动作计划和“每集少若干轮”只是设计目标，不能当作已证明可删除的调用。〔E3，S7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将仿真渲染排除后，真机仍有相机采集、控制器周期、网络与安全检查。不能用episode减渲染直接承诺真实机器人速度。〔E3〕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8集记录448次逻辑轮次/完整响应和473次传输尝试，额外尝试并不全可避免。另有2个SAM OOM attempt排除，其3205.20s已发生episode成本仍属复现成本。正式8集中仅4个SAM调用可匹配client/server，共享handler活动不能全部归入本批。〔E3，S7〕</w:t>
      </w:r>
    </w:p>
    <w:p>
      <w:pPr>
        <w:widowControl/>
      </w:pPr>
      <w:r>
        <w:rPr>
          <w:rFonts w:ascii="Arial" w:hAnsi="Arial" w:eastAsia="Hiragino Sans GB"/>
          <w:b w:val="0"/>
          <w:color w:val="555555"/>
          <w:sz w:val="17"/>
        </w:rPr>
        <w:t>来源S7。云端prefill与完整hidden thinking未独立暴露；请求区间可跨工具执行。跨设备单调时钟不得直接相减。</w:t>
      </w:r>
    </w:p>
    <w:p>
      <w:r>
        <w:br w:type="page"/>
      </w:r>
    </w:p>
    <w:p>
      <w:pPr>
        <w:pStyle w:val="Heading1"/>
      </w:pPr>
      <w:r>
        <w:t>6 DeepSeek 思考开关的已有证据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两场景审计v1.5的流式8集比较medium与none，每档4集。两档t0/seed0、seed1均成功，t9均未完成。medium的两个t9有输出预算异常退出，none没有进程异常。两档成功率同为2/4，不构成非劣性证明。〔E3，S8〕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64"/>
        <w:gridCol w:w="2448"/>
        <w:gridCol w:w="2448"/>
        <w:gridCol w:w="2578"/>
      </w:tblGrid>
      <w:tr>
        <w:trPr>
          <w:cantSplit/>
          <w:tblHeader/>
        </w:trPr>
        <w:tc>
          <w:tcPr>
            <w:tcW w:type="dxa" w:w="2664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共同成功t0</w:t>
            </w:r>
          </w:p>
        </w:tc>
        <w:tc>
          <w:tcPr>
            <w:tcW w:type="dxa" w:w="2448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medium</w:t>
            </w:r>
          </w:p>
        </w:tc>
        <w:tc>
          <w:tcPr>
            <w:tcW w:type="dxa" w:w="2448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none</w:t>
            </w:r>
          </w:p>
        </w:tc>
        <w:tc>
          <w:tcPr>
            <w:tcW w:type="dxa" w:w="2578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变化</w:t>
            </w:r>
          </w:p>
        </w:tc>
      </w:tr>
      <w:tr>
        <w:trPr>
          <w:cantSplit/>
        </w:trPr>
        <w:tc>
          <w:tcPr>
            <w:tcW w:type="dxa" w:w="266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episode累计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2326.7s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1848.2s</w:t>
            </w:r>
          </w:p>
        </w:tc>
        <w:tc>
          <w:tcPr>
            <w:tcW w:type="dxa" w:w="257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下降20.6%</w:t>
            </w:r>
          </w:p>
        </w:tc>
      </w:tr>
      <w:tr>
        <w:trPr>
          <w:cantSplit/>
        </w:trPr>
        <w:tc>
          <w:tcPr>
            <w:tcW w:type="dxa" w:w="266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逻辑决策轮</w:t>
            </w:r>
          </w:p>
        </w:tc>
        <w:tc>
          <w:tcPr>
            <w:tcW w:type="dxa" w:w="2448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63</w:t>
            </w:r>
          </w:p>
        </w:tc>
        <w:tc>
          <w:tcPr>
            <w:tcW w:type="dxa" w:w="2448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57</w:t>
            </w:r>
          </w:p>
        </w:tc>
        <w:tc>
          <w:tcPr>
            <w:tcW w:type="dxa" w:w="2578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减少6轮</w:t>
            </w:r>
          </w:p>
        </w:tc>
      </w:tr>
      <w:tr>
        <w:trPr>
          <w:cantSplit/>
        </w:trPr>
        <w:tc>
          <w:tcPr>
            <w:tcW w:type="dxa" w:w="266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LLM累计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1238.435s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715.819s</w:t>
            </w:r>
          </w:p>
        </w:tc>
        <w:tc>
          <w:tcPr>
            <w:tcW w:type="dxa" w:w="257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减少522.616s</w:t>
            </w:r>
          </w:p>
        </w:tc>
      </w:tr>
      <w:tr>
        <w:trPr>
          <w:cantSplit/>
        </w:trPr>
        <w:tc>
          <w:tcPr>
            <w:tcW w:type="dxa" w:w="266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TTFT累计</w:t>
            </w:r>
          </w:p>
        </w:tc>
        <w:tc>
          <w:tcPr>
            <w:tcW w:type="dxa" w:w="2448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776.094s</w:t>
            </w:r>
          </w:p>
        </w:tc>
        <w:tc>
          <w:tcPr>
            <w:tcW w:type="dxa" w:w="2448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607.904s</w:t>
            </w:r>
          </w:p>
        </w:tc>
        <w:tc>
          <w:tcPr>
            <w:tcW w:type="dxa" w:w="2578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减少168.190s</w:t>
            </w:r>
          </w:p>
        </w:tc>
      </w:tr>
      <w:tr>
        <w:trPr>
          <w:cantSplit/>
        </w:trPr>
        <w:tc>
          <w:tcPr>
            <w:tcW w:type="dxa" w:w="266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reasoning tokens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45618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257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输出计量变化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分seed看，t0/seed0耗时下降30.4%，seed1仅下降2.9%。关闭思考改变了输出、上下文、轮数与执行轨迹，不能将整集478.5s收益全部归给thinking计算。两档prompt也并非逐字相同。〔E3，S8〕</w:t>
      </w:r>
    </w:p>
    <w:p>
      <w:pPr>
        <w:pStyle w:val="Heading2"/>
      </w:pPr>
      <w:r>
        <w:t>瓶颈随上下文与轨迹变化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流式成功4集共120次逻辑请求，LLM累计1954.3s，其中TTFT约1384.0s，占70.8%。另一条新增object_swap t2/seed0主例为15请求、episode205.3s，LLM110.534s，其中首输出后88.796s，占80.3%。两组分别偏向首输出前等待和首输出后输出，不应套用统一瓶颈占比。〔E3，S8〕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流式8集的逻辑请求与传输尝试需要分开，178次传输尝试中，TTFT与TPOT各有177条有效记录。medium共同成功t0两集按输出token比例拆分的thinking352.550s和decode97.379s属于估算；报告中“prefill代理”实质取TTFT，包含网络及服务等待。〔E3，S8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下一轮可对正常阶段尝试low，对异常恢复保留更高档位，并记录回退率。是否优于none或全程medium，必须在固定任务和配对seed中重新验证。〔E3，设计〕</w:t>
      </w:r>
    </w:p>
    <w:p>
      <w:pPr>
        <w:widowControl/>
      </w:pPr>
      <w:r>
        <w:rPr>
          <w:rFonts w:ascii="Arial" w:hAnsi="Arial" w:eastAsia="Hiragino Sans GB"/>
          <w:b w:val="0"/>
          <w:color w:val="555555"/>
          <w:sz w:val="17"/>
        </w:rPr>
        <w:t>S8为本次优先采用的DeepSeek审计口径。原始8集、流式8集、新增15请求主例均单独保留，不能用不同批次总时长宣称提速。</w:t>
      </w:r>
    </w:p>
    <w:p>
      <w:r>
        <w:br w:type="page"/>
      </w:r>
    </w:p>
    <w:p>
      <w:pPr>
        <w:pStyle w:val="Heading1"/>
      </w:pPr>
      <w:r>
        <w:t>7 MT 最新 low think 结果与收益边界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</w:r>
      <w:r>
        <w:rPr>
          <w:rFonts w:ascii="Arial" w:hAnsi="Arial" w:eastAsia="Hiragino Sans GB"/>
          <w:b/>
          <w:color w:val="000000"/>
        </w:rPr>
        <w:t>MT最新实验反馈：开启low think后，think耗时由4.6s降至1.4s。</w:t>
      </w:r>
      <w:r>
        <w:rPr>
          <w:rFonts w:ascii="Arial" w:hAnsi="Arial" w:eastAsia="Hiragino Sans GB"/>
          <w:b w:val="0"/>
          <w:color w:val="000000"/>
        </w:rPr>
        <w:t xml:space="preserve"> 该结果由用户于2026年10月14日补充，未包含在所列历史报告中。本文将其作为新的阶段性实验反馈保留，证据级别E4；历史报告未收录不表示该结果错误。〔E4，S16〕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3240"/>
        <w:gridCol w:w="4522"/>
      </w:tblGrid>
      <w:tr>
        <w:trPr>
          <w:cantSplit/>
          <w:tblHeader/>
        </w:trPr>
        <w:tc>
          <w:tcPr>
            <w:tcW w:type="dxa" w:w="2376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240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20"/>
              </w:rPr>
              <w:t>计算</w:t>
            </w:r>
          </w:p>
        </w:tc>
        <w:tc>
          <w:tcPr>
            <w:tcW w:type="dxa" w:w="4522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20"/>
              </w:rPr>
              <w:t>结论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阶段耗时差</w:t>
            </w:r>
          </w:p>
        </w:tc>
        <w:tc>
          <w:tcPr>
            <w:tcW w:type="dxa" w:w="324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4.6 − 1.4</w:t>
            </w:r>
          </w:p>
        </w:tc>
        <w:tc>
          <w:tcPr>
            <w:tcW w:type="dxa" w:w="45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该阶段指标减少3.2s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阶段耗时降幅</w:t>
            </w:r>
          </w:p>
        </w:tc>
        <w:tc>
          <w:tcPr>
            <w:tcW w:type="dxa" w:w="324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3.2 ÷ 4.6</w:t>
            </w:r>
          </w:p>
        </w:tc>
        <w:tc>
          <w:tcPr>
            <w:tcW w:type="dxa" w:w="452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69.6%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阶段加速比</w:t>
            </w:r>
          </w:p>
        </w:tc>
        <w:tc>
          <w:tcPr>
            <w:tcW w:type="dxa" w:w="324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4.6 ÷ 1.4</w:t>
            </w:r>
          </w:p>
        </w:tc>
        <w:tc>
          <w:tcPr>
            <w:tcW w:type="dxa" w:w="45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20"/>
              </w:rPr>
              <w:t>约3.29倍</w:t>
            </w:r>
          </w:p>
        </w:tc>
      </w:tr>
    </w:tbl>
    <w:p>
      <w:pPr>
        <w:spacing w:after="0"/>
      </w:pPr>
    </w:p>
    <w:p>
      <w:pPr>
        <w:pStyle w:val="Heading2"/>
      </w:pPr>
      <w:r>
        <w:t>单次耗时与轮数的联合模型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串行近似下，T = N × (q + h + d) + A + O。其中N为实际高层请求数，q为think之外的首输出前等待与处理，h为think阶段，d为其余输出，A为动作与工具独占时间，O为外围开销。若阶段可重叠，应改用关键路径。〔E3，模型〕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如果MT的4.6s与1.4s是同口径的每请求均值，且N与其他成本保持不变，则T_low = T_base − 3.2N。thinking占原始端到端时间的比例为f时，总体加速比为1 / (1 − 0.69565f)。下表仅为预算情景，不属于新实验成绩。〔E3，基于E4条件计算〕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40"/>
        <w:gridCol w:w="3384"/>
        <w:gridCol w:w="3514"/>
      </w:tblGrid>
      <w:tr>
        <w:trPr>
          <w:cantSplit/>
          <w:tblHeader/>
        </w:trPr>
        <w:tc>
          <w:tcPr>
            <w:tcW w:type="dxa" w:w="3240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9"/>
              </w:rPr>
              <w:t>thinking原占比 f</w:t>
            </w:r>
          </w:p>
        </w:tc>
        <w:tc>
          <w:tcPr>
            <w:tcW w:type="dxa" w:w="3384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9"/>
              </w:rPr>
              <w:t>端到端时间降幅</w:t>
            </w:r>
          </w:p>
        </w:tc>
        <w:tc>
          <w:tcPr>
            <w:tcW w:type="dxa" w:w="3514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9"/>
              </w:rPr>
              <w:t>总体加速比</w:t>
            </w:r>
          </w:p>
        </w:tc>
      </w:tr>
      <w:tr>
        <w:trPr>
          <w:cantSplit/>
        </w:trPr>
        <w:tc>
          <w:tcPr>
            <w:tcW w:type="dxa" w:w="324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9"/>
              </w:rPr>
              <w:t>10%</w:t>
            </w:r>
          </w:p>
        </w:tc>
        <w:tc>
          <w:tcPr>
            <w:tcW w:type="dxa" w:w="338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9"/>
              </w:rPr>
              <w:t>约7.0%</w:t>
            </w:r>
          </w:p>
        </w:tc>
        <w:tc>
          <w:tcPr>
            <w:tcW w:type="dxa" w:w="35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9"/>
              </w:rPr>
              <w:t>1.075倍</w:t>
            </w:r>
          </w:p>
        </w:tc>
      </w:tr>
      <w:tr>
        <w:trPr>
          <w:cantSplit/>
        </w:trPr>
        <w:tc>
          <w:tcPr>
            <w:tcW w:type="dxa" w:w="324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9"/>
              </w:rPr>
              <w:t>30%</w:t>
            </w:r>
          </w:p>
        </w:tc>
        <w:tc>
          <w:tcPr>
            <w:tcW w:type="dxa" w:w="338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9"/>
              </w:rPr>
              <w:t>约20.9%</w:t>
            </w:r>
          </w:p>
        </w:tc>
        <w:tc>
          <w:tcPr>
            <w:tcW w:type="dxa" w:w="351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9"/>
              </w:rPr>
              <w:t>1.264倍</w:t>
            </w:r>
          </w:p>
        </w:tc>
      </w:tr>
      <w:tr>
        <w:trPr>
          <w:cantSplit/>
        </w:trPr>
        <w:tc>
          <w:tcPr>
            <w:tcW w:type="dxa" w:w="324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9"/>
              </w:rPr>
              <w:t>50%</w:t>
            </w:r>
          </w:p>
        </w:tc>
        <w:tc>
          <w:tcPr>
            <w:tcW w:type="dxa" w:w="338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9"/>
              </w:rPr>
              <w:t>约34.8%</w:t>
            </w:r>
          </w:p>
        </w:tc>
        <w:tc>
          <w:tcPr>
            <w:tcW w:type="dxa" w:w="35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center"/>
            </w:pPr>
            <w:r>
              <w:rPr>
                <w:rFonts w:ascii="Arial" w:hAnsi="Arial" w:eastAsia="Hiragino Sans GB"/>
                <w:b w:val="0"/>
                <w:color w:val="000000"/>
                <w:sz w:val="19"/>
              </w:rPr>
              <w:t>1.533倍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若low think增加误判、重复抓取或恢复次数，N与A可能增长并抵消收益。因而应联合报告think p50/p95、请求p50/p95、任务成功率、轮数、成功集耗时和全部attempt成本。不得将69.6%阶段降幅写成69.6%整机提速。〔E3〕</w:t>
      </w:r>
    </w:p>
    <w:p>
      <w:pPr>
        <w:widowControl/>
      </w:pPr>
      <w:r>
        <w:rPr>
          <w:rFonts w:ascii="Arial" w:hAnsi="Arial" w:eastAsia="Hiragino Sans GB"/>
          <w:b w:val="0"/>
          <w:color w:val="555555"/>
          <w:sz w:val="17"/>
        </w:rPr>
        <w:t>待归档字段：模型及版本、baseline/low参数、任务与seed、重复次数、缓存/并发、think时钟起止、均值或分位数、成功判据与完整请求耗时。MT low与S8 medium/none为独立证据。</w:t>
      </w:r>
    </w:p>
    <w:p>
      <w:r>
        <w:br w:type="page"/>
      </w:r>
    </w:p>
    <w:p>
      <w:pPr>
        <w:pStyle w:val="Heading1"/>
      </w:pPr>
      <w:r>
        <w:t>8 DeepSeek 专项实验与计时口径修正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真实TTFT v5与Files API优化局是两场独立实验。两者的路线、轮数、缓存和计时实现不同，不能按文件名称将后者视为前者新版，也不能把182.5s与153.1s之差归为某一个优化开关的收益。〔E3，S10、S11〕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98"/>
        <w:gridCol w:w="2405"/>
        <w:gridCol w:w="3240"/>
        <w:gridCol w:w="2995"/>
      </w:tblGrid>
      <w:tr>
        <w:trPr>
          <w:cantSplit/>
          <w:tblHeader/>
        </w:trPr>
        <w:tc>
          <w:tcPr>
            <w:tcW w:type="dxa" w:w="1498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报告</w:t>
            </w:r>
          </w:p>
        </w:tc>
        <w:tc>
          <w:tcPr>
            <w:tcW w:type="dxa" w:w="2405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实验范围</w:t>
            </w:r>
          </w:p>
        </w:tc>
        <w:tc>
          <w:tcPr>
            <w:tcW w:type="dxa" w:w="3240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可以保留的观察</w:t>
            </w:r>
          </w:p>
        </w:tc>
        <w:tc>
          <w:tcPr>
            <w:tcW w:type="dxa" w:w="2995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需要限制的推断</w:t>
            </w:r>
          </w:p>
        </w:tc>
      </w:tr>
      <w:tr>
        <w:trPr>
          <w:cantSplit/>
        </w:trPr>
        <w:tc>
          <w:tcPr>
            <w:tcW w:type="dxa" w:w="149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TTFT v5</w:t>
            </w:r>
          </w:p>
        </w:tc>
        <w:tc>
          <w:tcPr>
            <w:tcW w:type="dxa" w:w="240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10/11，t2/s0，15轮，182.5s</w:t>
            </w:r>
          </w:p>
        </w:tc>
        <w:tc>
          <w:tcPr>
            <w:tcW w:type="dxa" w:w="324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流式代理；TTFT中位数1.07s；文件引用替换内嵌图像</w:t>
            </w:r>
          </w:p>
        </w:tc>
        <w:tc>
          <w:tcPr>
            <w:tcW w:type="dxa" w:w="299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客户端子区间不能叫纯服务端prefill</w:t>
            </w:r>
          </w:p>
        </w:tc>
      </w:tr>
      <w:tr>
        <w:trPr>
          <w:cantSplit/>
        </w:trPr>
        <w:tc>
          <w:tcPr>
            <w:tcW w:type="dxa" w:w="1498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Files API局</w:t>
            </w:r>
          </w:p>
        </w:tc>
        <w:tc>
          <w:tcPr>
            <w:tcW w:type="dxa" w:w="2405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10/10，t2/s0，11轮，153.1s</w:t>
            </w:r>
          </w:p>
        </w:tc>
        <w:tc>
          <w:tcPr>
            <w:tcW w:type="dxa" w:w="324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文件引用与输入载荷策略的独立尝试</w:t>
            </w:r>
          </w:p>
        </w:tc>
        <w:tc>
          <w:tcPr>
            <w:tcW w:type="dxa" w:w="2995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部分阶段为token估算；纯prefill与排队未独立测量</w:t>
            </w:r>
          </w:p>
        </w:tc>
      </w:tr>
      <w:tr>
        <w:trPr>
          <w:cantSplit/>
        </w:trPr>
        <w:tc>
          <w:tcPr>
            <w:tcW w:type="dxa" w:w="149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后续审计主例</w:t>
            </w:r>
          </w:p>
        </w:tc>
        <w:tc>
          <w:tcPr>
            <w:tcW w:type="dxa" w:w="240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另一个15请求，205.3s</w:t>
            </w:r>
          </w:p>
        </w:tc>
        <w:tc>
          <w:tcPr>
            <w:tcW w:type="dxa" w:w="324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LLM110.534s，首输出后占80.3%</w:t>
            </w:r>
          </w:p>
        </w:tc>
        <w:tc>
          <w:tcPr>
            <w:tcW w:type="dxa" w:w="299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不与v5的15轮/182.5s合并</w:t>
            </w:r>
          </w:p>
        </w:tc>
      </w:tr>
    </w:tbl>
    <w:p>
      <w:pPr>
        <w:spacing w:after="0"/>
      </w:pPr>
    </w:p>
    <w:p>
      <w:pPr>
        <w:pStyle w:val="Heading2"/>
      </w:pPr>
      <w:r>
        <w:t>可取的优化方向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Files API及内容哈希复用有望减少重复上传。v5展示的请求体从约4.6MB转为约0.2MB，但新增图仍有上传成本，端到端收益需同请求重放验证。文件引用是否保留服务端图像计算或缓存命中，必须依据该服务实际接口与观测确认。〔E3，S10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v5记录π0.5独立调用约384ms/chunk，样本10次，5步动作摊销约76.8ms/action。若执行窗口为5步×50ms=250ms，384ms延迟已大于窗口，局部控制实时性仍值得优化。此处的直接调用测量与深度补测handler插桩条件不同，不合并作同一设备横向速度比较。〔E3，S10，计算〕</w:t>
      </w:r>
    </w:p>
    <w:p>
      <w:pPr>
        <w:pStyle w:val="Heading2"/>
      </w:pPr>
      <w:r>
        <w:t>不直接沿用的旧结论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旧报告将客户端等待称为“DS服务端prefill”，或将超出孤立基线的时间全部归为排队，证据不足。由reasoning tokens乘常数得到的时间仍是估算。Files API局中“11轮降8轮”“153s降92s”等是条件推演，不是实跑结论。〔E3，S8、S10、S11〕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后续保留每次发送、响应头、首非空reasoning/正文/工具参数、末事件的单调时钟。若服务不提供计算span，报告客户端区间及其不确定性，不反推纯prefill或hidden thinking。〔E3，设计〕</w:t>
      </w:r>
    </w:p>
    <w:p>
      <w:r>
        <w:br w:type="page"/>
      </w:r>
    </w:p>
    <w:p>
      <w:pPr>
        <w:pStyle w:val="Heading1"/>
      </w:pPr>
      <w:r>
        <w:t>9 JEV 决策模型的定位与集成路径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本地EmbodiedJev参考实现把Jev作为候选选择API使用：文本state与questions送入TypeSafe System One接口，返回choice和probabilities。仓库没有可直接部署到NPU的Jev开源checkpoint，也未公开可审查的服务端网络参数。官方资料称其采用RLCD；本报告只按接口与公开文档界定能力。〔E1/E3，S12、J1〕</w:t>
      </w:r>
    </w:p>
    <w:p>
      <w:pPr>
        <w:pStyle w:val="Heading2"/>
      </w:pPr>
      <w:r>
        <w:t>与 RPent 的主要差别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4104"/>
        <w:gridCol w:w="4594"/>
      </w:tblGrid>
      <w:tr>
        <w:trPr>
          <w:cantSplit/>
          <w:tblHeader/>
        </w:trPr>
        <w:tc>
          <w:tcPr>
            <w:tcW w:type="dxa" w:w="1440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4104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EmbodiedJev当前参考链</w:t>
            </w:r>
          </w:p>
        </w:tc>
        <w:tc>
          <w:tcPr>
            <w:tcW w:type="dxa" w:w="4594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RPent与建议集成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状态与候选</w:t>
            </w:r>
          </w:p>
        </w:tc>
        <w:tc>
          <w:tcPr>
            <w:tcW w:type="dxa" w:w="410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文本结构化状态；EmbodiedJev libero_v2由Astra处理视觉并生成候选</w:t>
            </w:r>
          </w:p>
        </w:tc>
        <w:tc>
          <w:tcPr>
            <w:tcW w:type="dxa" w:w="459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沿用必要视觉、空间状态和任务上下文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高层决策</w:t>
            </w:r>
          </w:p>
        </w:tc>
        <w:tc>
          <w:tcPr>
            <w:tcW w:type="dxa" w:w="410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Jev在有限候选中选择，可同state提交多题</w:t>
            </w:r>
          </w:p>
        </w:tc>
        <w:tc>
          <w:tcPr>
            <w:tcW w:type="dxa" w:w="459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Jev选择技能或恢复分支，复杂情况回Astra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执行</w:t>
            </w:r>
          </w:p>
        </w:tc>
        <w:tc>
          <w:tcPr>
            <w:tcW w:type="dxa" w:w="410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Panda工作台/数值伺服等独立执行器</w:t>
            </w:r>
          </w:p>
        </w:tc>
        <w:tc>
          <w:tcPr>
            <w:tcW w:type="dxa" w:w="459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π0.5动作块与已验收脚本原语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验证</w:t>
            </w:r>
          </w:p>
        </w:tc>
        <w:tc>
          <w:tcPr>
            <w:tcW w:type="dxa" w:w="410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通过环境/执行反馈推进状态</w:t>
            </w:r>
          </w:p>
        </w:tc>
        <w:tc>
          <w:tcPr>
            <w:tcW w:type="dxa" w:w="459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保持冻结成功谓词，加入可观测进展检查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EmbodiedJev项目libero_v2链的Astra视觉候选、Jev或GPT选择器、数值伺服链并未接入学习型VLA。选择器API快不等于视觉闭环快；如果每轮仍需Astra生成候选，则Jev新增请求可能抵消收益。〔E1/E3，S12〕</w:t>
      </w:r>
    </w:p>
    <w:p>
      <w:pPr>
        <w:pStyle w:val="Heading2"/>
      </w:pPr>
      <w:r>
        <w:t>先隔离候选与选择器的作用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第一步构造固定的技能候选和相同结构化状态，比较规则、Astra、Jev三个选择器。候选中加入继续、重新观察、恢复和停止；probabilities只作待校准信号，不能当作真实成功概率。第二步才开放动态视觉候选，并把Astra调用率和状态更新成本计入。〔E3，设计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JEV的潜在收益来自降低选项决策成本与减少不必要的大模型调用。它也可能通过进展感知选择减少重复动作，但该效果取决于候选质量和反馈，尚未在RPent证实。候选覆盖不足、状态陈旧和分布外对象会触发回退。〔E3，设计〕</w:t>
      </w:r>
    </w:p>
    <w:p>
      <w:pPr>
        <w:widowControl/>
      </w:pPr>
      <w:r>
        <w:rPr>
          <w:rFonts w:ascii="Arial" w:hAnsi="Arial" w:eastAsia="Hiragino Sans GB"/>
          <w:b w:val="0"/>
          <w:color w:val="555555"/>
          <w:sz w:val="17"/>
        </w:rPr>
        <w:t>源码与固定提交定位见S12及J1；2026-10-13本机规则基线9/9属于该参考项目测试，不是Jev或RPent的新机器人成功率。</w:t>
      </w:r>
    </w:p>
    <w:p>
      <w:r>
        <w:br w:type="page"/>
      </w:r>
    </w:p>
    <w:p>
      <w:pPr>
        <w:pStyle w:val="Heading1"/>
      </w:pPr>
      <w:r>
        <w:t>10 Astra JEV 与 VLA 的分层执行方案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建议比较两种可部署的职责分工。基础方案由Astra做低频任务规划与异常恢复，VLA执行局部动作。扩展方案在中间加入Jev，针对稳定状态从有限技能或恢复候选中选择。高层调用由阶段事件触发，局部观测和安全检查持续运行。〔E3，设计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5256"/>
        <w:gridCol w:w="3154"/>
      </w:tblGrid>
      <w:tr>
        <w:trPr>
          <w:cantSplit/>
          <w:tblHeader/>
        </w:trPr>
        <w:tc>
          <w:tcPr>
            <w:tcW w:type="dxa" w:w="1728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5256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输入与输出</w:t>
            </w:r>
          </w:p>
        </w:tc>
        <w:tc>
          <w:tcPr>
            <w:tcW w:type="dxa" w:w="3154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触发条件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Astra</w:t>
            </w:r>
          </w:p>
        </w:tc>
        <w:tc>
          <w:tcPr>
            <w:tcW w:type="dxa" w:w="525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任务、关键视觉状态、失败摘要；输出子目标或更新技能候选</w:t>
            </w:r>
          </w:p>
        </w:tc>
        <w:tc>
          <w:tcPr>
            <w:tcW w:type="dxa" w:w="315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任务开始、新对象/新阶段、低置信或连续无进展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Jev选择器</w:t>
            </w:r>
          </w:p>
        </w:tc>
        <w:tc>
          <w:tcPr>
            <w:tcW w:type="dxa" w:w="5256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紧凑状态+有限候选；输出技能ID/分支</w:t>
            </w:r>
          </w:p>
        </w:tc>
        <w:tc>
          <w:tcPr>
            <w:tcW w:type="dxa" w:w="315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阶段边界或局部状态发生有效变化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VLA与脚本原语</w:t>
            </w:r>
          </w:p>
        </w:tc>
        <w:tc>
          <w:tcPr>
            <w:tcW w:type="dxa" w:w="525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当前观测+局部instruction；输出动作chunk或原语执行</w:t>
            </w:r>
          </w:p>
        </w:tc>
        <w:tc>
          <w:tcPr>
            <w:tcW w:type="dxa" w:w="315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执行技能时按控制窗口连续调度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验证器</w:t>
            </w:r>
          </w:p>
        </w:tc>
        <w:tc>
          <w:tcPr>
            <w:tcW w:type="dxa" w:w="5256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抓持、目标位移、状态变化、终止谓词</w:t>
            </w:r>
          </w:p>
        </w:tc>
        <w:tc>
          <w:tcPr>
            <w:tcW w:type="dxa" w:w="315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每chunk/关键动作后，异常时停止或回退</w:t>
            </w:r>
          </w:p>
        </w:tc>
      </w:tr>
    </w:tbl>
    <w:p>
      <w:pPr>
        <w:spacing w:after="0"/>
      </w:pPr>
    </w:p>
    <w:p>
      <w:pPr>
        <w:pStyle w:val="Heading2"/>
      </w:pPr>
      <w:r>
        <w:t>与每轮审核的对比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GPT-as-Policy当前Hybrid在每轮候选后等待GPT审核，成功轨迹没有展示纠错收益。事件触发方案只在阶段边界或异常时请求高层，能够在设计上减少请求数；必须计入复合技能内部感知与验证成本，不能靠省略反馈换速度。〔E3，S1及设计〕</w:t>
      </w:r>
    </w:p>
    <w:p>
      <w:pPr>
        <w:pStyle w:val="Heading2"/>
      </w:pPr>
      <w:r>
        <w:t>时间与状态一致性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使用请求ID、技能ID、观测时间戳和动作版本关联各层。VLA继续执行时，高层返回的决策可能基于过时图像；结果接纳前检查观测新鲜度与技能版本。异步策略需要允许安全取消或在chunk边界切换，不直接将旧动作序列拼接到新状态。〔E3，设计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chunk大小同时影响调用频率、动作前视范围和反馈频率。增大chunk可摊销推理，却可能延长错误动作和恢复时间。独立记录模型延迟、动作窗口、buffer欠载、观测年龄和重规划间隔，才能判断是否满足实时闭环。〔E3，设计〕</w:t>
      </w:r>
    </w:p>
    <w:p>
      <w:pPr>
        <w:widowControl/>
      </w:pPr>
      <w:r>
        <w:rPr>
          <w:rFonts w:ascii="Arial" w:hAnsi="Arial" w:eastAsia="Hiragino Sans GB"/>
          <w:b w:val="0"/>
          <w:color w:val="555555"/>
          <w:sz w:val="17"/>
        </w:rPr>
        <w:t>方案是下一阶段实验设计，未宣称已完成Astra/Jev+VLA融合、NPU部署或真机验证。</w:t>
      </w:r>
    </w:p>
    <w:p>
      <w:r>
        <w:br w:type="page"/>
      </w:r>
    </w:p>
    <w:p>
      <w:pPr>
        <w:pStyle w:val="Heading1"/>
      </w:pPr>
      <w:r>
        <w:t>11 关键技术趋势与昇腾优化边界</w:t>
      </w:r>
    </w:p>
    <w:p>
      <w:pPr>
        <w:pStyle w:val="Heading2"/>
      </w:pPr>
      <w:r>
        <w:t>趋势一 高层推理与低层动作采用不同频率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已有实验显示逐动作调用云端大模型的等待成本显著，而局部操作可以由VLA或脚本持续执行。公开的分层/异步VLA工作也研究将语义推理与快速动作分离。对本项目的判断是：先建立可靠的技能边界、事件触发和恢复逻辑，再决定大模型调用频率。〔E3，S1、S12、S13及官方资料〕</w:t>
      </w:r>
    </w:p>
    <w:p>
      <w:pPr>
        <w:pStyle w:val="Heading2"/>
      </w:pPr>
      <w:r>
        <w:t>趋势二 推理预算按任务阶段分配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MT low think反馈与DeepSeek medium/none实验均支持进一步研究推理预算，但证据范围不同。简单、已见过的选择可低档位运行；新场景、歧义状态和恢复步骤可能需要更多推理。应优化成功率约束下的总请求成本，而不是单独最小化thinking tokens。〔E3/E4，S8、S16〕</w:t>
      </w:r>
    </w:p>
    <w:p>
      <w:pPr>
        <w:pStyle w:val="Heading2"/>
      </w:pPr>
      <w:r>
        <w:t>趋势三 状态压缩与缓存必须保持任务信息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长历史、重复指南与多视角图像增加输入成本。可以保留稳定前缀、对象状态、已验证子目标和失败摘要，同时保留必要原图用于再判断。压缩比例不等于延迟下降比例，缓存命中也不证明prefill已无成本。固定请求重放和闭环回归应分别验证。〔E3，S6、S8、S13〕</w:t>
      </w:r>
    </w:p>
    <w:p>
      <w:pPr>
        <w:pStyle w:val="Heading2"/>
      </w:pPr>
      <w:r>
        <w:t>趋势四 局部实时性与整集瓶颈需要分别优化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即使π前向占整集时间较小，单chunk超过动作窗口仍会影响连续控制。NPU优化应以实际profile区分矩阵计算、attention/KV读取、Vector算子、访存、搬运和launch开销。云端模型的队列与内核不能由本机直接优化。〔E3，S7、S10、S14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910B3首批32次方案是8个固定请求×4次的计划，模型多图部署与推理尚待执行。它适合建立本地VLM推理分阶段基线，不能在本报告中写成已验证的NPU吞吐、硬件瓶颈或性能收益。〔E3，S15〕</w:t>
      </w:r>
    </w:p>
    <w:p>
      <w:pPr>
        <w:widowControl/>
      </w:pPr>
      <w:r>
        <w:rPr>
          <w:rFonts w:ascii="Arial" w:hAnsi="Arial" w:eastAsia="Hiragino Sans GB"/>
          <w:b w:val="0"/>
          <w:color w:val="555555"/>
          <w:sz w:val="17"/>
        </w:rPr>
        <w:t>趋势为工程判断，不是行业统一性能结论。官方资料与源码定位列于附录；没有服务端trace时，不以TOPS、token数或客户端等待直接确定芯片计算瓶颈。</w:t>
      </w:r>
    </w:p>
    <w:p>
      <w:r>
        <w:br w:type="page"/>
      </w:r>
    </w:p>
    <w:p>
      <w:pPr>
        <w:pStyle w:val="Heading1"/>
      </w:pPr>
      <w:r>
        <w:t>12 最小受控实验与验收矩阵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实验分两层进行：固定请求重放用于隔离单次推理变化，闭环任务用于检验轮数、成功率与恢复成本。先在t0/t9做小样本探针，再扩展到原120身份集合。保留环境、模型版本、任务初态、工具、成功判据和排除协议。〔E3，建议方案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21"/>
        <w:gridCol w:w="2477"/>
        <w:gridCol w:w="3312"/>
        <w:gridCol w:w="3528"/>
      </w:tblGrid>
      <w:tr>
        <w:trPr>
          <w:cantSplit/>
          <w:tblHeader/>
        </w:trPr>
        <w:tc>
          <w:tcPr>
            <w:tcW w:type="dxa" w:w="821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组别</w:t>
            </w:r>
          </w:p>
        </w:tc>
        <w:tc>
          <w:tcPr>
            <w:tcW w:type="dxa" w:w="2477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只改变的因素</w:t>
            </w:r>
          </w:p>
        </w:tc>
        <w:tc>
          <w:tcPr>
            <w:tcW w:type="dxa" w:w="3312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必须保持或记录</w:t>
            </w:r>
          </w:p>
        </w:tc>
        <w:tc>
          <w:tcPr>
            <w:tcW w:type="dxa" w:w="3528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检验问题</w:t>
            </w:r>
          </w:p>
        </w:tc>
      </w:tr>
      <w:tr>
        <w:trPr>
          <w:cantSplit/>
        </w:trPr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A0</w:t>
            </w:r>
          </w:p>
        </w:tc>
        <w:tc>
          <w:tcPr>
            <w:tcW w:type="dxa" w:w="2477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当前Astra+原语/VLA基线</w:t>
            </w:r>
          </w:p>
        </w:tc>
        <w:tc>
          <w:tcPr>
            <w:tcW w:type="dxa" w:w="331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原冻结协议</w:t>
            </w:r>
          </w:p>
        </w:tc>
        <w:tc>
          <w:tcPr>
            <w:tcW w:type="dxa" w:w="352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复现对照</w:t>
            </w:r>
          </w:p>
        </w:tc>
      </w:tr>
      <w:tr>
        <w:trPr>
          <w:cantSplit/>
        </w:trPr>
        <w:tc>
          <w:tcPr>
            <w:tcW w:type="dxa" w:w="821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A1</w:t>
            </w:r>
          </w:p>
        </w:tc>
        <w:tc>
          <w:tcPr>
            <w:tcW w:type="dxa" w:w="2477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thinking档位</w:t>
            </w:r>
          </w:p>
        </w:tc>
        <w:tc>
          <w:tcPr>
            <w:tcW w:type="dxa" w:w="331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固定请求及闭环配对</w:t>
            </w:r>
          </w:p>
        </w:tc>
        <w:tc>
          <w:tcPr>
            <w:tcW w:type="dxa" w:w="3528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单次变快是否增加轮数</w:t>
            </w:r>
          </w:p>
        </w:tc>
      </w:tr>
      <w:tr>
        <w:trPr>
          <w:cantSplit/>
        </w:trPr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A2</w:t>
            </w:r>
          </w:p>
        </w:tc>
        <w:tc>
          <w:tcPr>
            <w:tcW w:type="dxa" w:w="2477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输出/历史压缩</w:t>
            </w:r>
          </w:p>
        </w:tc>
        <w:tc>
          <w:tcPr>
            <w:tcW w:type="dxa" w:w="331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必要图像、状态与语义信息</w:t>
            </w:r>
          </w:p>
        </w:tc>
        <w:tc>
          <w:tcPr>
            <w:tcW w:type="dxa" w:w="352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传输与输出是否实际下降</w:t>
            </w:r>
          </w:p>
        </w:tc>
      </w:tr>
      <w:tr>
        <w:trPr>
          <w:cantSplit/>
        </w:trPr>
        <w:tc>
          <w:tcPr>
            <w:tcW w:type="dxa" w:w="821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A3</w:t>
            </w:r>
          </w:p>
        </w:tc>
        <w:tc>
          <w:tcPr>
            <w:tcW w:type="dxa" w:w="2477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复合技能及事件触发</w:t>
            </w:r>
          </w:p>
        </w:tc>
        <w:tc>
          <w:tcPr>
            <w:tcW w:type="dxa" w:w="331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同一VLA、终止与回退谓词</w:t>
            </w:r>
          </w:p>
        </w:tc>
        <w:tc>
          <w:tcPr>
            <w:tcW w:type="dxa" w:w="3528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减少高层请求的收益</w:t>
            </w:r>
          </w:p>
        </w:tc>
      </w:tr>
      <w:tr>
        <w:trPr>
          <w:cantSplit/>
        </w:trPr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A4</w:t>
            </w:r>
          </w:p>
        </w:tc>
        <w:tc>
          <w:tcPr>
            <w:tcW w:type="dxa" w:w="2477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规则/Astra/Jev选择器</w:t>
            </w:r>
          </w:p>
        </w:tc>
        <w:tc>
          <w:tcPr>
            <w:tcW w:type="dxa" w:w="331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相同状态与候选集</w:t>
            </w:r>
          </w:p>
        </w:tc>
        <w:tc>
          <w:tcPr>
            <w:tcW w:type="dxa" w:w="352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隔离选择器贡献</w:t>
            </w:r>
          </w:p>
        </w:tc>
      </w:tr>
      <w:tr>
        <w:trPr>
          <w:cantSplit/>
        </w:trPr>
        <w:tc>
          <w:tcPr>
            <w:tcW w:type="dxa" w:w="821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A5</w:t>
            </w:r>
          </w:p>
        </w:tc>
        <w:tc>
          <w:tcPr>
            <w:tcW w:type="dxa" w:w="2477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动态候选与Jev回退</w:t>
            </w:r>
          </w:p>
        </w:tc>
        <w:tc>
          <w:tcPr>
            <w:tcW w:type="dxa" w:w="331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计入Astra生成候选成本</w:t>
            </w:r>
          </w:p>
        </w:tc>
        <w:tc>
          <w:tcPr>
            <w:tcW w:type="dxa" w:w="3528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真实组合是否值得加入</w:t>
            </w:r>
          </w:p>
        </w:tc>
      </w:tr>
      <w:tr>
        <w:trPr>
          <w:cantSplit/>
        </w:trPr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A6</w:t>
            </w:r>
          </w:p>
        </w:tc>
        <w:tc>
          <w:tcPr>
            <w:tcW w:type="dxa" w:w="2477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同步/异步chunk调度</w:t>
            </w:r>
          </w:p>
        </w:tc>
        <w:tc>
          <w:tcPr>
            <w:tcW w:type="dxa" w:w="331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同权重与动作范围</w:t>
            </w:r>
          </w:p>
        </w:tc>
        <w:tc>
          <w:tcPr>
            <w:tcW w:type="dxa" w:w="352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实时性和陈旧动作风险</w:t>
            </w:r>
          </w:p>
        </w:tc>
      </w:tr>
    </w:tbl>
    <w:p>
      <w:pPr>
        <w:spacing w:after="0"/>
      </w:pPr>
    </w:p>
    <w:p>
      <w:pPr>
        <w:pStyle w:val="Heading2"/>
      </w:pPr>
      <w:r>
        <w:t>联合指标与通过条件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主要指标是冻结成功率、共同成功轨迹耗时、所有attempt累计成本、N_request、N_retry和无进展恢复次数。辅助指标包括TTFT、可见输出窗口、tokens/cache、π handler p50/p95、动作步数、加载时间及观测年龄。失败更快不算任务加速。〔E3〕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先由负责人预注册可接受的成功率下降幅度及时间收益目标。若采用5个百分点作为示例非劣性边界，应基于配对成功差的置信区间检验，并根据功效估计补样本。每格1例、两seed或每档4集都只能作探针，不能宣布统计等价。〔E3，建议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将模型成功、工具错误、输出预算失败、基础设施异常分别记账。共同成功子集可解释延迟差，但存在条件选择，应同时展示全部配对结果和总消耗。按任务/seed聚合不确定性，不能把同一episode内的请求当成独立任务样本。〔E3〕</w:t>
      </w:r>
    </w:p>
    <w:p>
      <w:pPr>
        <w:widowControl/>
      </w:pPr>
      <w:r>
        <w:rPr>
          <w:rFonts w:ascii="Arial" w:hAnsi="Arial" w:eastAsia="Hiragino Sans GB"/>
          <w:b w:val="0"/>
          <w:color w:val="555555"/>
          <w:sz w:val="17"/>
        </w:rPr>
        <w:t>不使用上游不同任务/训练数据的成绩作为本项目验收门槛。RoboTwin社区π0.5选型资料仅作路线参考，见S9。</w:t>
      </w:r>
    </w:p>
    <w:p>
      <w:r>
        <w:br w:type="page"/>
      </w:r>
    </w:p>
    <w:p>
      <w:pPr>
        <w:pStyle w:val="Heading1"/>
      </w:pPr>
      <w:r>
        <w:t>13 实施优先级与最终建议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44"/>
        <w:gridCol w:w="4032"/>
        <w:gridCol w:w="4162"/>
      </w:tblGrid>
      <w:tr>
        <w:trPr>
          <w:cantSplit/>
          <w:tblHeader/>
        </w:trPr>
        <w:tc>
          <w:tcPr>
            <w:tcW w:type="dxa" w:w="1944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4032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交付内容</w:t>
            </w:r>
          </w:p>
        </w:tc>
        <w:tc>
          <w:tcPr>
            <w:tcW w:type="dxa" w:w="4162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进入下一阶段的条件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阶段0 证据对齐</w:t>
            </w:r>
          </w:p>
        </w:tc>
        <w:tc>
          <w:tcPr>
            <w:tcW w:type="dxa" w:w="403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MT low think实验卡；统一请求/阶段/动作span；基线复放</w:t>
            </w:r>
          </w:p>
        </w:tc>
        <w:tc>
          <w:tcPr>
            <w:tcW w:type="dxa" w:w="416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时钟和分母可复核，原始记录保留在受保护实验区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阶段1 单次耗时</w:t>
            </w:r>
          </w:p>
        </w:tc>
        <w:tc>
          <w:tcPr>
            <w:tcW w:type="dxa" w:w="403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同模型thinking档位、输出简化、稳定前缀与图像复用消融</w:t>
            </w:r>
          </w:p>
        </w:tc>
        <w:tc>
          <w:tcPr>
            <w:tcW w:type="dxa" w:w="416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必要信息保留，成功率和轮数无不可接受退化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阶段2 减少轮数</w:t>
            </w:r>
          </w:p>
        </w:tc>
        <w:tc>
          <w:tcPr>
            <w:tcW w:type="dxa" w:w="403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复合技能、进展检测、有限恢复、事件触发Astra</w:t>
            </w:r>
          </w:p>
        </w:tc>
        <w:tc>
          <w:tcPr>
            <w:tcW w:type="dxa" w:w="416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同时减少大模型请求和无效动作，额外验证成本已计入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阶段3 JEV与VLA</w:t>
            </w:r>
          </w:p>
        </w:tc>
        <w:tc>
          <w:tcPr>
            <w:tcW w:type="dxa" w:w="403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固定候选selector消融，再评估动态候选和异步VLA</w:t>
            </w:r>
          </w:p>
        </w:tc>
        <w:tc>
          <w:tcPr>
            <w:tcW w:type="dxa" w:w="4162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Jev增益超过接入/候选生成成本，回退与实时性合格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阶段4 芯片定向优化</w:t>
            </w:r>
          </w:p>
        </w:tc>
        <w:tc>
          <w:tcPr>
            <w:tcW w:type="dxa" w:w="403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固定负载profile、热点kernel、数据搬运与精度对照</w:t>
            </w:r>
          </w:p>
        </w:tc>
        <w:tc>
          <w:tcPr>
            <w:tcW w:type="dxa" w:w="416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8"/>
              </w:rPr>
              <w:t>热点在关键路径，端到端收益和数值/闭环回归均通过</w:t>
            </w:r>
          </w:p>
        </w:tc>
      </w:tr>
    </w:tbl>
    <w:p>
      <w:pPr>
        <w:spacing w:after="0"/>
      </w:pPr>
    </w:p>
    <w:p>
      <w:pPr>
        <w:pStyle w:val="Heading2"/>
      </w:pPr>
      <w:r>
        <w:t>对两个问题的完整回答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</w:r>
      <w:r>
        <w:rPr>
          <w:rFonts w:ascii="Arial" w:hAnsi="Arial" w:eastAsia="Hiragino Sans GB"/>
          <w:b/>
          <w:color w:val="000000"/>
        </w:rPr>
        <w:t>性能评估报告。</w:t>
      </w:r>
      <w:r>
        <w:rPr>
          <w:rFonts w:ascii="Arial" w:hAnsi="Arial" w:eastAsia="Hiragino Sans GB"/>
          <w:b w:val="0"/>
          <w:color w:val="000000"/>
        </w:rPr>
        <w:t xml:space="preserve"> 已完成三任务三路线、bowl多模型、RPent120集、独立8集深度计时与DeepSeek专项。结论是：复杂长程任务仍受能力与恢复策略限制，云端往返和动作执行共同构成大头。独立补测表明π handler占整集时间较小；仿真观测成本和真实机器人控制成本应分开讨论。〔E3，S1–S11〕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</w:r>
      <w:r>
        <w:rPr>
          <w:rFonts w:ascii="Arial" w:hAnsi="Arial" w:eastAsia="Hiragino Sans GB"/>
          <w:b/>
          <w:color w:val="000000"/>
        </w:rPr>
        <w:t>优化推理单次耗时乘轮次。</w:t>
      </w:r>
      <w:r>
        <w:rPr>
          <w:rFonts w:ascii="Arial" w:hAnsi="Arial" w:eastAsia="Hiragino Sans GB"/>
          <w:b w:val="0"/>
          <w:color w:val="000000"/>
        </w:rPr>
        <w:t xml:space="preserve"> low think优先影响单次成本；Jev选择器与复合技能优先影响高层请求成本和频率；Astra/Jev + VLA通过职责与频率分离争取减少高层等待。三者存在交互，收益不能直接相加。每次方案变更都应联合比较成功率、请求数、动作步数和全部attempt耗时。〔E3，S12–S16〕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近期最可执行的路线是先把MT的3.2s阶段节省落实到可复核实验卡，并测试是否维持决策质量；同时利用已有任务构建复合技能和进展反馈。随后在相同候选集上检验Jev，最后再评估完整异步双脑及NPU定向优化。当前没有证据支持承诺某一组合的固定总加速倍数。〔E3，建议〕</w:t>
      </w:r>
    </w:p>
    <w:p>
      <w:pPr>
        <w:widowControl/>
      </w:pPr>
      <w:r>
        <w:rPr>
          <w:rFonts w:ascii="Arial" w:hAnsi="Arial" w:eastAsia="Hiragino Sans GB"/>
          <w:b w:val="0"/>
          <w:color w:val="555555"/>
          <w:sz w:val="17"/>
        </w:rPr>
        <w:t>文档为v1.0综合评估。实验结果、上游实现与后续设计均在各节明确标注；未开展新的远程仿真、模型训练或机器人实验。</w:t>
      </w:r>
    </w:p>
    <w:p>
      <w:r>
        <w:br w:type="page"/>
      </w:r>
    </w:p>
    <w:p>
      <w:pPr>
        <w:pStyle w:val="Heading1"/>
      </w:pPr>
      <w:r>
        <w:t>附录 资料索引与版本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路径以工作区根或embodied-ai仓库根为基准。S1–S15为既有文件，S16为本次用户补充。报告采用来源标题、版本与章节定位，不复制原始会话、凭据或运行端点。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20"/>
        <w:gridCol w:w="6768"/>
        <w:gridCol w:w="2650"/>
      </w:tblGrid>
      <w:tr>
        <w:trPr>
          <w:cantSplit/>
          <w:tblHeader/>
        </w:trPr>
        <w:tc>
          <w:tcPr>
            <w:tcW w:type="dxa" w:w="720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6768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资料与位置</w:t>
            </w:r>
          </w:p>
        </w:tc>
        <w:tc>
          <w:tcPr>
            <w:tcW w:type="dxa" w:w="2650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本文用途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S1</w:t>
            </w:r>
          </w:p>
        </w:tc>
        <w:tc>
          <w:tcPr>
            <w:tcW w:type="dxa" w:w="676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GPT-as-Policy-repro/data/decision_v2_20260922/index.html</w:t>
              <w:br/>
              <w:t>多任务逐轮决策实录 v1.9，9/29</w:t>
            </w:r>
          </w:p>
        </w:tc>
        <w:tc>
          <w:tcPr>
            <w:tcW w:type="dxa" w:w="265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§5–§8及内嵌九回合汇总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S2</w:t>
            </w:r>
          </w:p>
        </w:tc>
        <w:tc>
          <w:tcPr>
            <w:tcW w:type="dxa" w:w="6768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GPT-as-Policy-repro/2026-09-17-GPT-as-Policy在MuJoCo与昇腾上的复现计划.md</w:t>
            </w:r>
          </w:p>
        </w:tc>
        <w:tc>
          <w:tcPr>
            <w:tcW w:type="dxa" w:w="265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计划与执行范围区分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S3</w:t>
            </w:r>
          </w:p>
        </w:tc>
        <w:tc>
          <w:tcPr>
            <w:tcW w:type="dxa" w:w="676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weeks/2026_0914-0920_GPT6Astra评测复现/2026-09-16-bowl-eval-v1四模型总结报告.html</w:t>
              <w:br/>
              <w:t>v1.2，实际更新9/23</w:t>
            </w:r>
          </w:p>
        </w:tc>
        <w:tc>
          <w:tcPr>
            <w:tcW w:type="dxa" w:w="265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§2、§3、§5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S4</w:t>
            </w:r>
          </w:p>
        </w:tc>
        <w:tc>
          <w:tcPr>
            <w:tcW w:type="dxa" w:w="6768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weeks/2026_0921-0927_同机仿真与云边验证/2026-09-23-GPT6-Sol-bowl五次与Astra同seed对照.md</w:t>
              <w:br/>
              <w:t>v1.1</w:t>
            </w:r>
          </w:p>
        </w:tc>
        <w:tc>
          <w:tcPr>
            <w:tcW w:type="dxa" w:w="265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模型身份更正、配对结果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S5</w:t>
            </w:r>
          </w:p>
        </w:tc>
        <w:tc>
          <w:tcPr>
            <w:tcW w:type="dxa" w:w="676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weeks/2026_0928-1004_RPent双脑对照与回馈/2026-10-01-RPent-Codex双模型120集结果.md</w:t>
              <w:br/>
              <w:t>v1.0</w:t>
            </w:r>
          </w:p>
        </w:tc>
        <w:tc>
          <w:tcPr>
            <w:tcW w:type="dxa" w:w="265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正式身份、成功与耗时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S6</w:t>
            </w:r>
          </w:p>
        </w:tc>
        <w:tc>
          <w:tcPr>
            <w:tcW w:type="dxa" w:w="6768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weeks/2026_1005-1011_RPent推理性能分析/2026-10-08-RPent-120集推理耗时与优化报告.html</w:t>
              <w:br/>
              <w:t>v2.0</w:t>
            </w:r>
          </w:p>
        </w:tc>
        <w:tc>
          <w:tcPr>
            <w:tcW w:type="dxa" w:w="265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互斥五桶、响应计数与归因边界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S7</w:t>
            </w:r>
          </w:p>
        </w:tc>
        <w:tc>
          <w:tcPr>
            <w:tcW w:type="dxa" w:w="6768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weeks/2026_1005-1011_RPent推理性能分析/deep-report/RPent-两场景深度计时报告.html</w:t>
            </w:r>
          </w:p>
        </w:tc>
        <w:tc>
          <w:tcPr>
            <w:tcW w:type="dxa" w:w="265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8集计时及敏感性预算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S8</w:t>
            </w:r>
          </w:p>
        </w:tc>
        <w:tc>
          <w:tcPr>
            <w:tcW w:type="dxa" w:w="6768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weeks/2026_1012-1018_RPent多模型性能分析/ds-report/RPent-DeepSeek-两场景性能审计.html</w:t>
              <w:br/>
              <w:t>v1.5</w:t>
            </w:r>
          </w:p>
        </w:tc>
        <w:tc>
          <w:tcPr>
            <w:tcW w:type="dxa" w:w="265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medium/none、分段口径与新主例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Arial" w:hAnsi="Arial" w:eastAsia="Hiragino Sans GB"/>
          <w:b w:val="0"/>
          <w:color w:val="555555"/>
          <w:sz w:val="17"/>
        </w:rPr>
        <w:t>本文E3表示本次按报告记载复核汇总，不否定源报告曾完成实测；E1仅用于已查看的代码接口与实现事实。</w:t>
      </w:r>
    </w:p>
    <w:p>
      <w:r>
        <w:br w:type="page"/>
      </w:r>
    </w:p>
    <w:p>
      <w:pPr>
        <w:pStyle w:val="Heading1"/>
      </w:pPr>
      <w:r>
        <w:t>附录 选型资料与新增证据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20"/>
        <w:gridCol w:w="6624"/>
        <w:gridCol w:w="2794"/>
      </w:tblGrid>
      <w:tr>
        <w:trPr>
          <w:cantSplit/>
          <w:tblHeader/>
        </w:trPr>
        <w:tc>
          <w:tcPr>
            <w:tcW w:type="dxa" w:w="720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6624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资料与位置</w:t>
            </w:r>
          </w:p>
        </w:tc>
        <w:tc>
          <w:tcPr>
            <w:tcW w:type="dxa" w:w="2794"/>
            <w:vAlign w:val="center"/>
            <w:shd w:fill="183D55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用途与限制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S9</w:t>
            </w:r>
          </w:p>
        </w:tc>
        <w:tc>
          <w:tcPr>
            <w:tcW w:type="dxa" w:w="662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GPT-as-Policy-repro/2026-09-21-RoboTwin2.0双臂测评集与π0.5微调权重调研报告.md</w:t>
            </w:r>
          </w:p>
        </w:tc>
        <w:tc>
          <w:tcPr>
            <w:tcW w:type="dxa" w:w="279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选型调研；不同训练数据/任务范围的数字不作代际收益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S10</w:t>
            </w:r>
          </w:p>
        </w:tc>
        <w:tc>
          <w:tcPr>
            <w:tcW w:type="dxa" w:w="662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rpent-repo/ds_flash_v5_report.html</w:t>
              <w:br/>
              <w:t>真实TTFT v5，2026-10-11</w:t>
            </w:r>
          </w:p>
        </w:tc>
        <w:tc>
          <w:tcPr>
            <w:tcW w:type="dxa" w:w="279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15轮182.5s专项；保留客户端测量边界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S11</w:t>
            </w:r>
          </w:p>
        </w:tc>
        <w:tc>
          <w:tcPr>
            <w:tcW w:type="dxa" w:w="662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rpent-repo/files_api_report.html</w:t>
              <w:br/>
              <w:t>Files API优化局，2026-10-10</w:t>
            </w:r>
          </w:p>
        </w:tc>
        <w:tc>
          <w:tcPr>
            <w:tcW w:type="dxa" w:w="279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11轮153.1s独立实验；旧计时推断以S8审计限制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S12</w:t>
            </w:r>
          </w:p>
        </w:tc>
        <w:tc>
          <w:tcPr>
            <w:tcW w:type="dxa" w:w="662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weeks/2026_1012-1018_RPent多模型性能分析/2026-10-13-EmbodiedJev项目分析与RPent对比.md</w:t>
            </w:r>
          </w:p>
        </w:tc>
        <w:tc>
          <w:tcPr>
            <w:tcW w:type="dxa" w:w="279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Jev接口、选择器和执行器分工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S13</w:t>
            </w:r>
          </w:p>
        </w:tc>
        <w:tc>
          <w:tcPr>
            <w:tcW w:type="dxa" w:w="662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同周/2026-10-13-VLM-VLA双脑架构与推理优化调研.md</w:t>
            </w:r>
          </w:p>
        </w:tc>
        <w:tc>
          <w:tcPr>
            <w:tcW w:type="dxa" w:w="279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架构、异频调度与受控消融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S14</w:t>
            </w:r>
          </w:p>
        </w:tc>
        <w:tc>
          <w:tcPr>
            <w:tcW w:type="dxa" w:w="662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同周/2026-10-13-具身VLM推理的芯片加速单元与验证路径.md</w:t>
            </w:r>
          </w:p>
        </w:tc>
        <w:tc>
          <w:tcPr>
            <w:tcW w:type="dxa" w:w="279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计算单元与profile路径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S15</w:t>
            </w:r>
          </w:p>
        </w:tc>
        <w:tc>
          <w:tcPr>
            <w:tcW w:type="dxa" w:w="662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同周/2026-10-13-910B3本地VLM首批32次推理基线执行方案.md</w:t>
            </w:r>
          </w:p>
        </w:tc>
        <w:tc>
          <w:tcPr>
            <w:tcW w:type="dxa" w:w="279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32次固定请求实验计划，非已跑性能</w:t>
            </w:r>
          </w:p>
        </w:tc>
      </w:tr>
      <w:tr>
        <w:trPr>
          <w:cantSplit/>
        </w:trPr>
        <w:tc>
          <w:tcPr>
            <w:tcW w:type="dxa" w:w="720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S16</w:t>
            </w:r>
          </w:p>
        </w:tc>
        <w:tc>
          <w:tcPr>
            <w:tcW w:type="dxa" w:w="662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2026-10-14用户补充：MT的最新low think实验反馈，think 4.6s降至1.4s</w:t>
            </w:r>
          </w:p>
        </w:tc>
        <w:tc>
          <w:tcPr>
            <w:tcW w:type="dxa" w:w="2794"/>
            <w:vAlign w:val="center"/>
            <w:shd w:fill="F2F5F7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before="0" w:line="254" w:lineRule="auto"/>
              <w:jc w:val="left"/>
            </w:pPr>
            <w:r>
              <w:rPr>
                <w:rFonts w:ascii="Arial" w:hAnsi="Arial" w:eastAsia="Hiragino Sans GB"/>
                <w:b w:val="0"/>
                <w:color w:val="000000"/>
                <w:sz w:val="17"/>
              </w:rPr>
              <w:t>E4；待附配置、样本量、阶段时钟与任务结果</w:t>
            </w:r>
          </w:p>
        </w:tc>
      </w:tr>
    </w:tbl>
    <w:p>
      <w:pPr>
        <w:spacing w:after="0"/>
      </w:pPr>
    </w:p>
    <w:p>
      <w:pPr>
        <w:pStyle w:val="Heading2"/>
      </w:pPr>
      <w:r>
        <w:t>源码与官方资料</w:t>
      </w:r>
    </w:p>
    <w:p>
      <w:pPr>
        <w:widowControl/>
      </w:pPr>
      <w:r>
        <w:rPr>
          <w:rFonts w:ascii="Arial" w:hAnsi="Arial" w:eastAsia="Hiragino Sans GB"/>
          <w:b w:val="0"/>
          <w:color w:val="000000"/>
        </w:rPr>
        <w:t>J1 固定版本FBddcz/embodied-jev@f08de2e4e20d6cd69fea9c57ac1062c3ef510f1e。policies.py第277–422行：API请求与返回；libero_supervisor.py第101–289行：视觉候选、selector与数值伺服；policies.py第509–534行：本地MiniCPM候选logits路径。〔E1〕</w:t>
      </w:r>
    </w:p>
    <w:p>
      <w:pPr>
        <w:spacing w:after="80"/>
      </w:pPr>
      <w:hyperlink r:id="rId10">
        <w:r>
          <w:rPr>
            <w:rFonts w:ascii="Arial" w:eastAsia="Hiragino Sans GB"/>
            <w:sz w:val="18"/>
            <w:color w:val="1C526C"/>
          </w:rPr>
          <w:t>J1 EmbodiedJev 固定源码与接口</w:t>
        </w:r>
      </w:hyperlink>
    </w:p>
    <w:p>
      <w:pPr>
        <w:spacing w:after="80"/>
      </w:pPr>
      <w:hyperlink r:id="rId11">
        <w:r>
          <w:rPr>
            <w:rFonts w:ascii="Arial" w:eastAsia="Hiragino Sans GB"/>
            <w:sz w:val="18"/>
            <w:color w:val="1C526C"/>
          </w:rPr>
          <w:t>J2 TypeSafe System One 与 Models 官方说明</w:t>
        </w:r>
      </w:hyperlink>
    </w:p>
    <w:p>
      <w:pPr>
        <w:spacing w:after="80"/>
      </w:pPr>
      <w:hyperlink r:id="rId12">
        <w:r>
          <w:rPr>
            <w:rFonts w:ascii="Arial" w:eastAsia="Hiragino Sans GB"/>
            <w:sz w:val="18"/>
            <w:color w:val="1C526C"/>
          </w:rPr>
          <w:t>W1 Hi Robot 论文 2025</w:t>
        </w:r>
      </w:hyperlink>
    </w:p>
    <w:p>
      <w:pPr>
        <w:spacing w:after="80"/>
      </w:pPr>
      <w:hyperlink r:id="rId13">
        <w:r>
          <w:rPr>
            <w:rFonts w:ascii="Arial" w:eastAsia="Hiragino Sans GB"/>
            <w:sz w:val="18"/>
            <w:color w:val="1C526C"/>
          </w:rPr>
          <w:t>W2 Figure Helix 官方技术说明 2025</w:t>
        </w:r>
      </w:hyperlink>
    </w:p>
    <w:p>
      <w:pPr>
        <w:spacing w:after="80"/>
      </w:pPr>
      <w:hyperlink r:id="rId14">
        <w:r>
          <w:rPr>
            <w:rFonts w:ascii="Arial" w:eastAsia="Hiragino Sans GB"/>
            <w:sz w:val="18"/>
            <w:color w:val="1C526C"/>
          </w:rPr>
          <w:t>W3 Real Time Execution of Action Chunking Flow Policies 2025</w:t>
        </w:r>
      </w:hyperlink>
    </w:p>
    <w:p>
      <w:pPr>
        <w:widowControl/>
      </w:pPr>
      <w:r>
        <w:rPr>
          <w:rFonts w:ascii="Arial" w:hAnsi="Arial" w:eastAsia="Hiragino Sans GB"/>
          <w:b w:val="0"/>
          <w:color w:val="555555"/>
          <w:sz w:val="17"/>
        </w:rPr>
        <w:t>官方资料访问日2026-10-14。J2与W1–W3均为E3文档/论文证据，支持接口和技术方向判断，不构成本项目性能复现。</w:t>
      </w:r>
    </w:p>
    <w:sectPr w:rsidR="00FC693F" w:rsidRPr="0006063C" w:rsidSect="00034616">
      <w:footerReference w:type="default" r:id="rId9"/>
      <w:pgSz w:w="12240" w:h="15840"/>
      <w:pgMar w:top="965" w:right="1051" w:bottom="922" w:left="1051" w:header="720" w:footer="38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Hiragino Sans GB"/>
        <w:color w:val="777777"/>
        <w:sz w:val="16"/>
      </w:rPr>
      <w:t xml:space="preserve">具身智能推理性能评估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  <w:ind w:left="0" w:firstLine="0"/>
      <w:jc w:val="left"/>
    </w:pPr>
    <w:rPr>
      <w:rFonts w:ascii="Arial" w:hAnsi="Arial" w:eastAsia="Hiragino Sans GB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 w:line="269" w:lineRule="auto"/>
      <w:ind w:left="0" w:firstLine="0"/>
      <w:jc w:val="left"/>
      <w:outlineLvl w:val="0"/>
    </w:pPr>
    <w:rPr>
      <w:rFonts w:asciiTheme="majorHAnsi" w:eastAsiaTheme="majorEastAsia" w:hAnsiTheme="majorHAnsi" w:cstheme="majorBidi" w:ascii="Arial" w:hAnsi="Arial" w:eastAsia="Hiragino Sans GB"/>
      <w:b/>
      <w:bCs/>
      <w:i w:val="0"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 w:line="269" w:lineRule="auto"/>
      <w:ind w:left="0" w:firstLine="0"/>
      <w:jc w:val="left"/>
      <w:outlineLvl w:val="1"/>
    </w:pPr>
    <w:rPr>
      <w:rFonts w:asciiTheme="majorHAnsi" w:eastAsiaTheme="majorEastAsia" w:hAnsiTheme="majorHAnsi" w:cstheme="majorBidi" w:ascii="Arial" w:hAnsi="Arial" w:eastAsia="Hiragino Sans GB"/>
      <w:b/>
      <w:bCs/>
      <w:i w:val="0"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80" w:line="269" w:lineRule="auto"/>
      <w:ind w:left="0" w:firstLine="0"/>
      <w:jc w:val="left"/>
      <w:outlineLvl w:val="2"/>
    </w:pPr>
    <w:rPr>
      <w:rFonts w:asciiTheme="majorHAnsi" w:eastAsiaTheme="majorEastAsia" w:hAnsiTheme="majorHAnsi" w:cstheme="majorBidi" w:ascii="Arial" w:hAnsi="Arial" w:eastAsia="Hiragino Sans GB"/>
      <w:b/>
      <w:bCs/>
      <w:i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69" w:lineRule="auto"/>
      <w:ind w:left="0" w:firstLine="0"/>
      <w:contextualSpacing/>
      <w:jc w:val="left"/>
    </w:pPr>
    <w:rPr>
      <w:rFonts w:asciiTheme="majorHAnsi" w:eastAsiaTheme="majorEastAsia" w:hAnsiTheme="majorHAnsi" w:cstheme="majorBidi" w:ascii="Arial" w:hAnsi="Arial" w:eastAsia="Hiragino Sans GB"/>
      <w:i w:val="0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80" w:line="269" w:lineRule="auto"/>
      <w:ind w:left="0" w:firstLine="0"/>
      <w:jc w:val="left"/>
    </w:pPr>
    <w:rPr>
      <w:rFonts w:asciiTheme="majorHAnsi" w:eastAsiaTheme="majorEastAsia" w:hAnsiTheme="majorHAnsi" w:cstheme="majorBidi" w:ascii="Arial" w:hAnsi="Arial" w:eastAsia="Hiragino Sans GB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FBddcz/embodied-jev/blob/f08de2e4e20d6cd69fea9c57ac1062c3ef510f1e/src/embodied_jev/policies.py#L277-L422" TargetMode="External"/><Relationship Id="rId11" Type="http://schemas.openxmlformats.org/officeDocument/2006/relationships/hyperlink" Target="https://docs.typesafe.ai/concepts/system-one" TargetMode="External"/><Relationship Id="rId12" Type="http://schemas.openxmlformats.org/officeDocument/2006/relationships/hyperlink" Target="https://arxiv.org/abs/2502.19417v2" TargetMode="External"/><Relationship Id="rId13" Type="http://schemas.openxmlformats.org/officeDocument/2006/relationships/hyperlink" Target="https://www.figure.ai/news/helix" TargetMode="External"/><Relationship Id="rId14" Type="http://schemas.openxmlformats.org/officeDocument/2006/relationships/hyperlink" Target="https://arxiv.org/abs/2506.07339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具身智能推理性能评估与优化完整报告</dc:title>
  <dc:subject>实验结果、性能瓶颈、low think 与 JEV VLA 优化路线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