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具身智能实验结果与改进方向报告</w:t>
      </w:r>
    </w:p>
    <w:p>
      <w:pPr>
        <w:pStyle w:val="Subtitle"/>
      </w:pPr>
      <w:r>
        <w:t>模型能力 Harness 与推理性能</w:t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v4.0  2026年10月16日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这份报告把已有机器人操作实验放在一起，解释模型判断、Harness 组织和运行耗时怎样共同影响任务结果。实验从 Astra 的直接抓放开始，经过 GPT-as-Policy 的逐块审核，再进入 RPent 的技能编排；RPent 和 DeepSeek 的计时记录用于进一步解释同样完成任务为什么会花不同的时间。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已有数据指向几项具体工作：抓放需要更可靠的状态判断与恢复；逐块审核和重复技能调用需要按实际贡献调整；仿真吞吐优先处理渲染，而连续控制需要缩短动作块交付时间。云端请求则按工作负载区分：一组主要等首输出，另一组主要等长思考和工具输出。下文先展示每项实验的条件和结果，再分析结论，最后安排相应的改进实验。〔L02–L10，E3 综合分析〕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正文按问题连续展开。附录另列 PPT 内容拆分：同一实验可以用结果、过程和改进方案分别讲解，图表以编号引用。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证据标记：E1 为源码机制；E2 为配置与协议；E3 为报告转引、统计复算、论文结果或明确标注的实验设计；E4 为外部转述。本报告采用公开报告与脱敏数据，累计时间按各实验定义统计。导师提供的 low think 结果标为 E4。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60"/>
        <w:gridCol w:w="3946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实验</w:t>
            </w:r>
          </w:p>
        </w:tc>
        <w:tc>
          <w:tcPr>
            <w:tcW w:type="dxa" w:w="396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已有数据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本报告关注的问题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bowl 抓放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首批多模型及第二批四组同 seed 对照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定位 抓持判断 恢复选择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GPT-as-Policy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18 格结果与 9 回合 610 轮记录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审核是否纠正动作 接管是否有效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RPent 普通与 Flash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Object Swap 和 Goal 首跑 重试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固定流程 在线规划 失败恢复的取舍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RPent Astra 与 Sol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正式 120 集及独立 8 集深测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同任务效率 渲染 请求与重复动作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DeepSeek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16 集两批对照 单局阶段表 9 体 42 次重放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思考档位 TTFT TPOT 上下文和输出长尾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JEV 与融合训练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本地规则基线 源码审查 Motus工程记录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选择器分工与后训练实验起点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各批次分别保留任务、初态、成功判据和分母。来源 L01–L16、S1–S7〔E3〕。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阅读顺序：测评任务 → 模型能力 → Harness 对照 → RPent 与 DeepSeek 计时 → 后续改进。附录 A 为 PPT 内容拆分，附录 B 为数据索引与来源。</w:t>
      </w:r>
    </w:p>
    <w:p>
      <w:pPr>
        <w:pStyle w:val="Heading1"/>
        <w:pageBreakBefore w:val="0"/>
      </w:pPr>
      <w:r>
        <w:t>1  测评任务与实验范围</w:t>
      </w:r>
    </w:p>
    <w:p>
      <w:pPr>
        <w:pStyle w:val="Heading2"/>
        <w:pageBreakBefore w:val="0"/>
      </w:pPr>
      <w:r>
        <w:t>1.1  RoboDojo 和 LIBERO 分别测什么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我们从 Astra 的机器人操作表现进入这一方向，随后开展本地抓放、GPT-as-Policy 和 RPent 实验。三组实验分别把模型放在直接输出末端目标、审核动作块和选择技能的位置上。因此，报告要同时回答三件事：模型在哪里做对了判断，Harness 怎样把判断变成动作，整条执行链又花了多少时间。两套测评基准分别帮助我们了解能力覆盖，以及在固定任务中比较方法。〔L01，架构依据 E1；研究问题归纳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92"/>
        <w:gridCol w:w="3946"/>
      </w:tblGrid>
      <w:tr>
        <w:trPr>
          <w:cantSplit/>
          <w:tblHeader/>
        </w:trPr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基准</w:t>
            </w:r>
          </w:p>
        </w:tc>
        <w:tc>
          <w:tcPr>
            <w:tcW w:type="dxa" w:w="439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任务与代表问题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怎样用于本研究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RoboDojo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42 个仿真任务：泛化 12、记忆 6、精细操作 8、长程 8、开放指令 8；另有 18 个实机任务。例：记住输送带上消失的物体、窄孔插管、多物体分类与交接。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观察能力覆盖与外部进展；后续检验本地改进能否迁移。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LIBERO</w:t>
            </w:r>
          </w:p>
        </w:tc>
        <w:tc>
          <w:tcPr>
            <w:tcW w:type="dxa" w:w="439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Spatial、Object、Goal 各 10 个任务，LIBERO-100 再分 90 个预训练任务和 10 个下游长任务，共 130 个。分别改变空间关系、对象、目标与任务长度。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为 GPT-as-Policy 和 RPent 提供环境基础，适合固定任务与初态比较。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来源 W01、W03、W04〔E3〕。常见的 Spatial/Object/Goal/Long 共 40 任务评价是原有任务的选集；本地 bowl 是自建 robosuite 抓放协议。RoboDojo 与 RoboTwin 是不同基准。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RoboDojo 同时报告终局成功率 SR 和包含中间进度的 Score，仿真总分按五个能力维度平均。这个设计提醒我们：‘没有完成’仍可能来自完全不同的环节。后文会保留抓取、搬运、释放和恢复过程，而不只列一个成功率。〔W01，E3〕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78"/>
        <w:gridCol w:w="1728"/>
        <w:gridCol w:w="2016"/>
      </w:tblGrid>
      <w:tr>
        <w:trPr>
          <w:cantSplit/>
          <w:tblHeader/>
        </w:trPr>
        <w:tc>
          <w:tcPr>
            <w:tcW w:type="dxa" w:w="201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官方加入日期</w:t>
            </w:r>
          </w:p>
        </w:tc>
        <w:tc>
          <w:tcPr>
            <w:tcW w:type="dxa" w:w="437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模型或系统</w:t>
            </w:r>
          </w:p>
        </w:tc>
        <w:tc>
          <w:tcPr>
            <w:tcW w:type="dxa" w:w="172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Score</w:t>
            </w:r>
          </w:p>
        </w:tc>
        <w:tc>
          <w:tcPr>
            <w:tcW w:type="dxa" w:w="201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SR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2026-09-16</w:t>
            </w:r>
          </w:p>
        </w:tc>
        <w:tc>
          <w:tcPr>
            <w:tcW w:type="dxa" w:w="43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GPT-6-Astra</w:t>
            </w:r>
          </w:p>
        </w:tc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28.97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22.48%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2026-09-28</w:t>
            </w:r>
          </w:p>
        </w:tc>
        <w:tc>
          <w:tcPr>
            <w:tcW w:type="dxa" w:w="43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PhysicalRSI（Agent 基线）</w:t>
            </w:r>
          </w:p>
        </w:tc>
        <w:tc>
          <w:tcPr>
            <w:tcW w:type="dxa" w:w="172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36.27</w:t>
            </w:r>
          </w:p>
        </w:tc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31.38%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2026-10-08</w:t>
            </w:r>
          </w:p>
        </w:tc>
        <w:tc>
          <w:tcPr>
            <w:tcW w:type="dxa" w:w="43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VPP2</w:t>
            </w:r>
          </w:p>
        </w:tc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39.26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32.26%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2026-10-14</w:t>
            </w:r>
          </w:p>
        </w:tc>
        <w:tc>
          <w:tcPr>
            <w:tcW w:type="dxa" w:w="43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EmbodiedEvo（Agent track）</w:t>
            </w:r>
          </w:p>
        </w:tc>
        <w:tc>
          <w:tcPr>
            <w:tcW w:type="dxa" w:w="172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45.08</w:t>
            </w:r>
          </w:p>
        </w:tc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38.95%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W02 官网首页及 News，2026-10-16 核验〔E3〕；这是不同提交方案的快照，各自的训练、接口与预算条件保留。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近期榜单既出现新的策略模型，也出现组织记忆、代码和反馈的 Agent 系统。对我们最有用的启发，是把基座能力与系统组织一起研究。外部成绩给出方向，解释本地差异仍要回到相同任务、初态和接口下的实验。〔W02、L01，E3〕</w:t>
      </w:r>
    </w:p>
    <w:p>
      <w:pPr>
        <w:pStyle w:val="Heading1"/>
        <w:pageBreakBefore w:val="0"/>
      </w:pPr>
      <w:r>
        <w:t>2  模型能力 从抓放结果到逐轮判断</w:t>
      </w:r>
    </w:p>
    <w:p>
      <w:pPr>
        <w:pStyle w:val="Heading2"/>
        <w:pageBreakBefore w:val="0"/>
      </w:pPr>
      <w:r>
        <w:t>2.1  Astra 完成更多抓放任务 平均决策数也更少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bowl 实验要求模型根据三路 RGB 图像和机器人实测状态，把红块放入蓝碗；模型自行决定位置、夹爪开合与结束时机，控制器执行 move_to。观测不提供物体真值坐标，统一上限为 20 次决策、900 个控制步。这个接口把视觉定位、执行进度判断和失败恢复同时交给了模型。〔L02，协议 E2；职责解释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84"/>
        <w:gridCol w:w="1800"/>
        <w:gridCol w:w="1800"/>
        <w:gridCol w:w="2434"/>
      </w:tblGrid>
      <w:tr>
        <w:trPr>
          <w:cantSplit/>
          <w:tblHeader/>
        </w:trPr>
        <w:tc>
          <w:tcPr>
            <w:tcW w:type="dxa" w:w="252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9 月 16 日批次</w:t>
            </w:r>
          </w:p>
        </w:tc>
        <w:tc>
          <w:tcPr>
            <w:tcW w:type="dxa" w:w="158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自动入碗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平均决策数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平均控制步</w:t>
            </w:r>
          </w:p>
        </w:tc>
        <w:tc>
          <w:tcPr>
            <w:tcW w:type="dxa" w:w="243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停在阶段 0–1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Astra 首批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5/5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12.2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432.2</w:t>
            </w:r>
          </w:p>
        </w:tc>
        <w:tc>
          <w:tcPr>
            <w:tcW w:type="dxa" w:w="24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0/5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GLM-5.3-Flash</w:t>
            </w:r>
          </w:p>
        </w:tc>
        <w:tc>
          <w:tcPr>
            <w:tcW w:type="dxa" w:w="158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0/20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18.5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623.1</w:t>
            </w:r>
          </w:p>
        </w:tc>
        <w:tc>
          <w:tcPr>
            <w:tcW w:type="dxa" w:w="243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17/20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DeepSeek-v4.1-flash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1/20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18.1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715.4</w:t>
            </w:r>
          </w:p>
        </w:tc>
        <w:tc>
          <w:tcPr>
            <w:tcW w:type="dxa" w:w="24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17/20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Qwen3.8-flash</w:t>
            </w:r>
          </w:p>
        </w:tc>
        <w:tc>
          <w:tcPr>
            <w:tcW w:type="dxa" w:w="158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4/20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18.9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675.3</w:t>
            </w:r>
          </w:p>
        </w:tc>
        <w:tc>
          <w:tcPr>
            <w:tcW w:type="dxa" w:w="243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14/20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L02 §3.1–3.3〔报告转引 E3〕。Astra 首批为 seed 2000–2004，其余为 2000–2019；阶段 0=未接触，1=接触但未抓起。原始请求档位 medium；Qwen 实际 xhigh，GLM/DeepSeek 后端档位未暴露。Astra 首批独立物理复核为 5/5 达 stage 4；正式盲评只完成两轮，均处于 3–4 边界。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收窄到四家共同的 seed 2000–2004，自动入碗依次为 Astra 5/5、Qwen 1/5、GLM 0/5、DeepSeek 0/5。Astra 用 10–14 次决策完成这些任务；三家各 20 次任务的基线合计有 48/60 停在阶段 0–1，占 80%。差距主要在建立抓取之前就出现了，后续应先查定位与抓持判断，再讨论更复杂的任务规划。〔L02 §3.1–3.3，E3〕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84"/>
        <w:gridCol w:w="1800"/>
        <w:gridCol w:w="1800"/>
        <w:gridCol w:w="2434"/>
      </w:tblGrid>
      <w:tr>
        <w:trPr>
          <w:cantSplit/>
          <w:tblHeader/>
        </w:trPr>
        <w:tc>
          <w:tcPr>
            <w:tcW w:type="dxa" w:w="252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9 月 23 日配对批次</w:t>
            </w:r>
          </w:p>
        </w:tc>
        <w:tc>
          <w:tcPr>
            <w:tcW w:type="dxa" w:w="158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自动入碗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平均决策数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平均控制步</w:t>
            </w:r>
          </w:p>
        </w:tc>
        <w:tc>
          <w:tcPr>
            <w:tcW w:type="dxa" w:w="243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平均回合墙钟/s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Astra/medium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5/5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16.0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505.8</w:t>
            </w:r>
          </w:p>
        </w:tc>
        <w:tc>
          <w:tcPr>
            <w:tcW w:type="dxa" w:w="24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336.11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Sol/medium</w:t>
            </w:r>
          </w:p>
        </w:tc>
        <w:tc>
          <w:tcPr>
            <w:tcW w:type="dxa" w:w="158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2/5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18.2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622.0</w:t>
            </w:r>
          </w:p>
        </w:tc>
        <w:tc>
          <w:tcPr>
            <w:tcW w:type="dxa" w:w="243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547.09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Sol/ultra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3/5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17.6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732.6</w:t>
            </w:r>
          </w:p>
        </w:tc>
        <w:tc>
          <w:tcPr>
            <w:tcW w:type="dxa" w:w="24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600.63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Luna/max</w:t>
            </w:r>
          </w:p>
        </w:tc>
        <w:tc>
          <w:tcPr>
            <w:tcW w:type="dxa" w:w="158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0/5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19.6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562.0</w:t>
            </w:r>
          </w:p>
        </w:tc>
        <w:tc>
          <w:tcPr>
            <w:tcW w:type="dxa" w:w="243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1969.76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L02 §3.6〔报告转引 E3；冻结初态与预算 E2〕。均为 seed 2005–2009、串行；Luna 有效末轮为 trial-10-clean。自动入碗样本的录像审核均停在 3–4 边界，Luna 未盲评。墙钟含模型等待、工具往返与环境执行。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第二组同初态结果延续了这一观察：Astra 完成五轮，且平均决策数最少。Sol 增加推理强度后由 2/5 变为 3/5，但逐场景发生了交换：ultra 新完成 2005、2009，却在 medium 已完成的 2007 失败；2008 两档都成功。同时平均控制步由 622.0 增到 732.6，墙钟由 547.09 秒增到 600.63 秒。两档运行产生了不同的成功场景和动作路径。下一轮应在这些初态上重复对照，逐步检查定位、抓持确认和恢复选择，找出增加的思考改善了哪些判断。〔L02 §3.6，E3〕</w:t>
      </w:r>
    </w:p>
    <w:p>
      <w:pPr>
        <w:pStyle w:val="Heading2"/>
        <w:pageBreakBefore w:val="0"/>
      </w:pPr>
      <w:r>
        <w:t>2.2  Astra 怎样确认抓持并修正错误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Astra 首批 trial-03 提供了一条完整的解释链。第 3 次决策时，指令目标高度为 0.845 m，实测仍是 0.932 m；它识别出前一动作只执行了三个控制步，继续下降。这一步处理的是‘机器人实际到了哪里’，避免把已发出的指令当成已经发生的状态。〔L02 §4.5，轨迹转引与解释 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随后它也抓空了。第 6 次闭合的目标高度是 0.825 m，第 7 次先试举，第 8 次看到方块留在桌上，于是张爪，把下一次抓取目标降到 0.805 m，并小幅修正横向位置。第 9 次原地闭合、第 10 次再次举升，第 11 次确认方块随手离桌后才搬运。它把试举变成一次状态检验，再用检验结果决定是否恢复；最终用 13 次决策、447 个控制步完成入碗。〔L02 §4.1、§4.5，E3〕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60"/>
        <w:gridCol w:w="3946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决策位置</w:t>
            </w:r>
          </w:p>
        </w:tc>
        <w:tc>
          <w:tcPr>
            <w:tcW w:type="dxa" w:w="396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观测与动作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用于判断什么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第 3 次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目标 z=0.845m，实测 z=0.932m；继续下降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指令发出后是否真正到位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第 6–8 次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在 z=0.825m 闭合并试举，物体仍留桌面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抓持是否建立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第 8–10 次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张爪，目标降至 z=0.805m，横向微调后重抓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根据失败结果改变下一动作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第 11 次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确认物体随手离桌后搬运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恢复是否有效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Astra trial-03 逐轮摘要。L02 §4.1、§4.5〔E3〕。原报告附完整图像与轨迹。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trial-04 则显示了方向纠错：第 4 次决策发现上一轮横向移动使腕视偏差扩大，便反向修正 y 到 0.045 m。该轮首次抓空后也经过试举、下降重抓和随动确认，最终在 14 次决策内完成。两条轨迹都出现过初始误差，但模型随后利用新观测修正方向或抓取高度，把任务继续推进到搬运和释放。〔L02 §4.5，E3〕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对照案例把问题说得更具体。DeepSeek trial-01 依据夹爪中间开度判断已经持物，物理复核却显示全程未抓住；GLM trial-14 在未接触方块时报告完成。Qwen trial-13 则成功用手与物体的同步像素位移验证抓持，并完成入碗。由此，Astra 的本地优势更适合概括为较稳定地串起‘定位—检查—纠正’，这些组成能力也能在其他模型的成功轨迹中观察到。〔L02 §4.4–4.5，E3〕</w:t>
      </w:r>
    </w:p>
    <w:p>
      <w:pPr>
        <w:pStyle w:val="Heading2"/>
        <w:pageBreakBefore w:val="0"/>
      </w:pPr>
      <w:r>
        <w:t>2.3  把空间能力拆成三个可测环节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些轨迹需要分别检查定位、状态判断和恢复选择。定位看对象、方向与落点是否正确；状态判断看模型能否分清未到位、已接触、已抓住和已完成；恢复选择看它发现偏差后是否采取了有效动作。这样才能解释一次失败究竟始于看错目标、误判状态，还是选错了下一步。〔L02，能力归纳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92"/>
        <w:gridCol w:w="3946"/>
      </w:tblGrid>
      <w:tr>
        <w:trPr>
          <w:cantSplit/>
          <w:tblHeader/>
        </w:trPr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能力问题</w:t>
            </w:r>
          </w:p>
        </w:tc>
        <w:tc>
          <w:tcPr>
            <w:tcW w:type="dxa" w:w="439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下一组配对实验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关键读数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定位或参考系理解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原输入与增加物体真值位置的诊断输入比较；其余相机、接口、预算固定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目标误差、错误修正方向率、首次举升轮次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动作后状态判断</w:t>
            </w:r>
          </w:p>
        </w:tc>
        <w:tc>
          <w:tcPr>
            <w:tcW w:type="dxa" w:w="439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相同帧数与视角下，比较重复当前帧和动作前后关键帧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假抓持率、假完成率、状态识别准确率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执行时序适配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原接口与统一到位等待、夹爪时序的接口比较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到位前重复调用、抓取控制步、成功数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恢复选择</w:t>
            </w:r>
          </w:p>
        </w:tc>
        <w:tc>
          <w:tcPr>
            <w:tcW w:type="dxa" w:w="439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在同一抓空或滑落状态重置，比较继续执行与验证后恢复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恢复成功率、额外调用数、最终成功数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依据 L02 的失败复核与工具时序提出，均为待实施设计〔E3〕。诊断真值仅用于定位问题；部署输入保持实际可取得的观测。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这些实验也能分开模型能力和接口负担：原报告中，同样约 10 cm 的移动，是否携带夹爪目标可使执行窗口从 3 步变成 40 或 80 步。若统一时序后重复调用减少，优化应落在接口；若补入位置或前后帧后抓持错误减少，则优先补相应训练数据。先做这一轮诊断，再决定把训练预算花在哪里。〔L02 §1、§5，机制转引及实验推导 E3〕</w:t>
      </w:r>
    </w:p>
    <w:p>
      <w:pPr>
        <w:pStyle w:val="Heading2"/>
        <w:pageBreakBefore w:val="0"/>
      </w:pPr>
      <w:r>
        <w:t>2.4  进入 RPent 后 模型面对的问题变了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在 RPent 中，planner 可以利用任务记忆调用技能，目标定位由 SAM3 支持，动作由 π0.5 技能和运动原语执行。它的主要工作因此转为选对象、选技能、检查阶段和处理异常。抓放实验要求模型自己连续决定末端落点，RPent 则把其中一部分工作交给专门模块。〔L01，架构 E1；职责归纳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1800"/>
        <w:gridCol w:w="1800"/>
        <w:gridCol w:w="4493"/>
      </w:tblGrid>
      <w:tr>
        <w:trPr>
          <w:cantSplit/>
          <w:tblHeader/>
        </w:trPr>
        <w:tc>
          <w:tcPr>
            <w:tcW w:type="dxa" w:w="2045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RPent 套件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Astra/medium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Sol/medium</w:t>
            </w:r>
          </w:p>
        </w:tc>
        <w:tc>
          <w:tcPr>
            <w:tcW w:type="dxa" w:w="4493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值得继续解释的差异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Spatial Task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19/20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17/20</w:t>
            </w:r>
          </w:p>
        </w:tc>
        <w:tc>
          <w:tcPr>
            <w:tcW w:type="dxa" w:w="449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目标选择与具体执行路径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Spatial Swap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20/20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20/20</w:t>
            </w:r>
          </w:p>
        </w:tc>
        <w:tc>
          <w:tcPr>
            <w:tcW w:type="dxa" w:w="4493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同样完成时，各自用了多少调用和动作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Long Swap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11/20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12/20</w:t>
            </w:r>
          </w:p>
        </w:tc>
        <w:tc>
          <w:tcPr>
            <w:tcW w:type="dxa" w:w="449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阶段衔接、恢复与长程错误累积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总计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50/60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49/60</w:t>
            </w:r>
          </w:p>
        </w:tc>
        <w:tc>
          <w:tcPr>
            <w:tcW w:type="dxa" w:w="4493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成功数接近，进一步比较过程成本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L04〔报告转引 E3；配置与验收 E2〕。每模型三套件，各 10 任务×2 初态；使用冻结环境终态判据。bowl 与 RPent 的任务、接口、预算和成功判据不同，两组之间不是 Harness 的因果消融。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Spatial Swap 两模型都完成 20/20，平均回合耗时仍分别为 586.9 和 943.7 秒，说明相同成功数可以对应不同的运行成本。Long Swap 则需要先查清未完成的阶段。接下来分别检查调用顺序、工具反馈和失败恢复，再把时间拆到请求与执行阶段，判断额外成本从哪里产生。〔L04，E3；墙钟含会话内等待〕</w:t>
      </w:r>
    </w:p>
    <w:p>
      <w:pPr>
        <w:pStyle w:val="Heading1"/>
        <w:pageBreakBefore w:val="0"/>
      </w:pPr>
      <w:r>
        <w:t>3  Harness 从动作审核到技能调用</w:t>
      </w:r>
    </w:p>
    <w:p>
      <w:pPr>
        <w:pStyle w:val="Heading2"/>
        <w:pageBreakBefore w:val="0"/>
      </w:pPr>
      <w:r>
        <w:t>3.1  先看决策被放在了哪一层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同一个模型接到不同控制接口，承担的工作会明显变化。GPT-as-Policy 的 Direct 要从图像判断目标、生成末端位姿，再由程序转成短段动作；Student 直接执行 π0.5；Hybrid 则先取得 π 候选，再让 Astra 决定放行、修改或接管。RPent 把一次高层决策扩大到定位、抓取、移动等工具，π0.5 在接触技能内部连续执行，明确的几何运动由解析控制器完成。实验因此同时改变了模型负责什么、多久被调用一次，以及失败后由谁处理。〔L03、L06、L09；E1 接口机制，E3 比较〕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60"/>
        <w:gridCol w:w="3946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路线</w:t>
            </w:r>
          </w:p>
        </w:tc>
        <w:tc>
          <w:tcPr>
            <w:tcW w:type="dxa" w:w="396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模型交付什么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动作执行与反馈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Student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π0.5 输出连续动作块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执行前缀后重新观测、采样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Direct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Astra 输出末端目标、姿态和夹爪命令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边界检查后执行 1–5 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Hybrid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Astra 审核 π 候选，选择放行、修改或接管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执行后再审核下一段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RPent 普通模式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LLM 选择工具与参数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π 接触技能、解析伺服及工具反馈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RPent Flash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预定流程与锚点重新绑定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视觉定位、π 和解析工具继续运行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L03、L06、L09、L10；接口机制 E1，Flash 批次配置 E2。下文按各批次任务与协议展示结果。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沿着这条分工变化看数据，可以回答三个具体问题：每次动作都审核，究竟纠正了什么；把动作交给技能后，剩余失败发生在哪里；进一步减少高层往返时，哪些检查必须留在执行端。下面先从观察最完整的 GPT-as-Policy 两批实验开始。〔E3〕</w:t>
      </w:r>
    </w:p>
    <w:p>
      <w:pPr>
        <w:pStyle w:val="Heading2"/>
        <w:pageBreakBefore w:val="0"/>
      </w:pPr>
      <w:r>
        <w:t>3.2  18 格实验暴露了接口误用与目标识别问题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9 月 21 日的 18 格由两个任务、Ori／Task／Pos 三种条件和三条路线组成。Task 改动后同步更新了输入指令：碗换成葡萄酒瓶，字母汤罐换成奶油奶酪；Pos 保留指令、改变位置。这使我们能够区分指令改动与空间布局改动，而不是把所有失败统称为泛化不足。〔L17，协议 E2〕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2563"/>
        <w:gridCol w:w="2578"/>
        <w:gridCol w:w="2578"/>
      </w:tblGrid>
      <w:tr>
        <w:trPr>
          <w:cantSplit/>
          <w:tblHeader/>
        </w:trPr>
        <w:tc>
          <w:tcPr>
            <w:tcW w:type="dxa" w:w="2419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条件与目标</w:t>
            </w:r>
          </w:p>
        </w:tc>
        <w:tc>
          <w:tcPr>
            <w:tcW w:type="dxa" w:w="2563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Student</w:t>
            </w:r>
          </w:p>
        </w:tc>
        <w:tc>
          <w:tcPr>
            <w:tcW w:type="dxa" w:w="257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Direct</w:t>
            </w:r>
          </w:p>
        </w:tc>
        <w:tc>
          <w:tcPr>
            <w:tcW w:type="dxa" w:w="257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Hybrid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Goal Ori：碗放盘上</w:t>
            </w:r>
          </w:p>
        </w:tc>
        <w:tc>
          <w:tcPr>
            <w:tcW w:type="dxa" w:w="256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成功／75 步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失败／300 步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失败／0 步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Goal Task：酒瓶放盘上</w:t>
            </w:r>
          </w:p>
        </w:tc>
        <w:tc>
          <w:tcPr>
            <w:tcW w:type="dxa" w:w="2563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成功／104 步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成功／236 步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成功／129 步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Goal Pos：碗放盘上</w:t>
            </w:r>
          </w:p>
        </w:tc>
        <w:tc>
          <w:tcPr>
            <w:tcW w:type="dxa" w:w="256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失败／300 步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失败／300 步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原生失败／145 步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LIBERO-10 Ori：双罐入篮</w:t>
            </w:r>
          </w:p>
        </w:tc>
        <w:tc>
          <w:tcPr>
            <w:tcW w:type="dxa" w:w="2563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成功／272 步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失败／520 步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成功／271 步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LIBERO-10 Task：换目标后入篮</w:t>
            </w:r>
          </w:p>
        </w:tc>
        <w:tc>
          <w:tcPr>
            <w:tcW w:type="dxa" w:w="256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成功／284 步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失败／520 步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成功／416 步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LIBERO-10 Pos：双罐入篮</w:t>
            </w:r>
          </w:p>
        </w:tc>
        <w:tc>
          <w:tcPr>
            <w:tcW w:type="dxa" w:w="2563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失败／520 步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失败／520 步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失败／520 步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L17；结果 E3，配置 E2。每格 init 0、环境 seed 0，Astra medium；同条件初态匹配，π 采样随机状态未配对。主表采用原生判据：Student 4/6、Direct 1/6、Hybrid 3/6。Goal Pos Hybrid 画面经用户接受，原展示列为成功；中心距 36.75mm，原生阈值 30mm。Goal Ori Hybrid 展示为同配置复跑，仍为零步失败。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最先暴露的是接口问题。Goal Ori Hybrid 原跑与复跑都在获取 π 候选后，把 stop 当成查看画面的操作，先提交 steps=0 被拒，再以 steps=1 结束任务，机器人始终没有动作。对此应把只读观察和不可逆终止分成清楚的接口，检查 stop 的描述及返回状态，再单独重跑新协议。增加抓取训练或提高推理速度，都不会直接修复这一类误用。〔L17；E3 轨迹，E3 解释〕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另一类是目标选择。更换奶油奶酪的回合中，Direct 先处理了错误包装，到第 461 步才识别出混淆，520 步预算仅剩 59 步。同条件 Student 在 284 步成功；Hybrid 在 416 步成功，但 84 次决策全部放行学生，没有执行修正。再看位置扰动，六格按原生判据全部失败。数据指向目标绑定、空间定位和动作适配三个可分别检查的环节，也说明“加上审核模型”本身没有保证纠错。〔L17；E3 记录，E3 判断〕</w:t>
      </w:r>
    </w:p>
    <w:p>
      <w:pPr>
        <w:pStyle w:val="Heading2"/>
        <w:pageBreakBefore w:val="0"/>
      </w:pPr>
      <w:r>
        <w:t>3.3  九回合记录显示持续审核增加了等待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随后采用逐轮 JSON 协议，把每次输入、候选、决策和实际动作对应起来，形成三任务各三路线的九回合记录。它回答的是上一批未能精确拆清的机制问题：审核是在改变动作，还是只给既有动作增加等待。〔L03；E1 协议，E2 批次〕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2563"/>
        <w:gridCol w:w="2578"/>
        <w:gridCol w:w="2578"/>
      </w:tblGrid>
      <w:tr>
        <w:trPr>
          <w:cantSplit/>
          <w:tblHeader/>
        </w:trPr>
        <w:tc>
          <w:tcPr>
            <w:tcW w:type="dxa" w:w="2419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任务</w:t>
            </w:r>
          </w:p>
        </w:tc>
        <w:tc>
          <w:tcPr>
            <w:tcW w:type="dxa" w:w="2563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Student：结果／步／轮</w:t>
            </w:r>
          </w:p>
        </w:tc>
        <w:tc>
          <w:tcPr>
            <w:tcW w:type="dxa" w:w="257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Direct：结果／步／轮</w:t>
            </w:r>
          </w:p>
        </w:tc>
        <w:tc>
          <w:tcPr>
            <w:tcW w:type="dxa" w:w="257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Hybrid：结果／步／轮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双罐入篮</w:t>
            </w:r>
          </w:p>
        </w:tc>
        <w:tc>
          <w:tcPr>
            <w:tcW w:type="dxa" w:w="256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成功／260／52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成功／476／97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成功／253／51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杯子入微波炉并关门</w:t>
            </w:r>
          </w:p>
        </w:tc>
        <w:tc>
          <w:tcPr>
            <w:tcW w:type="dxa" w:w="2563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成功／348／70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失败／520／105</w:t>
            </w:r>
          </w:p>
        </w:tc>
        <w:tc>
          <w:tcPr>
            <w:tcW w:type="dxa" w:w="257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成功／251／51</w:t>
            </w:r>
          </w:p>
        </w:tc>
      </w:tr>
      <w:tr>
        <w:trPr>
          <w:cantSplit/>
        </w:trPr>
        <w:tc>
          <w:tcPr>
            <w:tcW w:type="dxa" w:w="24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打开底层抽屉</w:t>
            </w:r>
          </w:p>
        </w:tc>
        <w:tc>
          <w:tcPr>
            <w:tcW w:type="dxa" w:w="256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失败／300／60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失败／300／64</w:t>
            </w:r>
          </w:p>
        </w:tc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失败／300／60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L03；结果 E3，配置 E2。九回合共 610 轮、3,008 控制步；各格单回合，同任务初态匹配。协议与旧 18 格不同，π 随机采样未配对。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双罐入篮中，Student、Direct、Hybrid 的单轮均值分别为 4.203、14.413、18.818 秒；后两者的 GPT 往返为 10.819、14.374 秒。Hybrid 的 51 轮全部放行 π。微波炉也是 51 轮全部放行，回合墙钟为 1,026.640 秒，纯 π 为 262.337 秒。Hybrid 的控制步较少，但实际没有动作纠正发生，轨迹长度差异还混有 π 采样差异。当前可直接确认的，是每次审核都进入了串行等待。〔L03；E3 数据，E3 分析〕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这种等待还有明确的协议来源。双罐 Hybrid 平均输出 331.8 个可见 Token，首末可见输出间隔约 9.62 秒；即使选择放行，也填写完整 assessment、edit 和 target 结构。因此第一项改动可以只缩短放行响应，保留请求编号、模式和必要执行参数；详细解释按需记录。保持任务、模型、候选和审核频率不变，先测完整决策时延与动作一致性，再改变调用频率。〔L18；E3 数值，E3 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抽屉回合进一步说明，允许接管与纠错成功是两件事。Hybrid 60 轮中有 13 轮末端接管，但底层抽屉终值仍为 0，中层却被拉到 −0.159787m；纯 π 的中层为 −0.159949m，底层同样为 0。下一项对照应针对“当前操作的是哪一层”加入前后观测核对，并统计接管后的目标变化。只有确认监测能识别偏离，再把固定逐轮审核改成阶段变化、目标丢失或持续无进展时触发，才能知道省掉的审核是否影响成功。〔L03；E3 轨迹，E3 设计〕</w:t>
      </w:r>
    </w:p>
    <w:p>
      <w:pPr>
        <w:pStyle w:val="Heading2"/>
        <w:pageBreakBefore w:val="0"/>
      </w:pPr>
      <w:r>
        <w:t>3.4  普通模式与 Flash 的完成率和时间取舍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RPent 将抓取交给 π 技能、几何运动交给解析工具，高层依据记忆和反馈选择调用顺序。9 月的 GLM-5.3 普通模式在 Object Swap 首跑完成 18/20，在 libero_goal 完成 16/20；Flash 改为回放任务计划并重新定位锚点，Object Swap 完成 15/20。它们提供了在线编排与固定流程的实际比较。〔L10、L19；报告结果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750"/>
        <w:gridCol w:w="2750"/>
        <w:gridCol w:w="2621"/>
      </w:tblGrid>
      <w:tr>
        <w:trPr>
          <w:cantSplit/>
          <w:tblHeader/>
        </w:trPr>
        <w:tc>
          <w:tcPr>
            <w:tcW w:type="dxa" w:w="201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Object Swap 条件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规划／感知／动作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结果</w:t>
            </w:r>
          </w:p>
        </w:tc>
        <w:tc>
          <w:tcPr>
            <w:tcW w:type="dxa" w:w="2621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时间统计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普通 API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GLM-5.3／SAM3／π 与解析工具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首跑 18/20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全 20 集均 890.20s；成功 18 集均 619.22s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Flash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固定计划／Molmo2-8B／π 与解析工具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首跑 15/20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 15 集均 228s；规划 LLM Token 为 0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L10、L19〔E3〕。API 逐集表累计 17,804s；全批耗时÷成功数为 989.11s。Flash 的 228s 是 15 个成功回合的均值，未提供全部 20 集时长。两批定位模型与流程不同，Flash 与 goal 曾共享 VLA。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Flash 的五个失败中，两个 t2 初态都因计划写 ranch dressing bottle、任务写 salad dressing 而在约 22 秒中止；另外三个执行完整回放后未达目标，涉及锚点重定位或放置精度。固定流程因此首先需要验证任务与计划是否匹配，其次需要在动作后检查物体是否发生预期变化。可将“对象名无法绑定”直接返回高层重规划，把定位不确定、抓持丢失和放置失败分开处理。这样才可能保留固定流程的调用优势，同时修补它已出现的失败出口。〔L10；E3 记录，E3 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普通模式也有另一种代价：Object Swap 两个败局都用满 100 次请求，分别持续 2,818 和 3,840 秒，反复使用定位、反投影和移动原语。libero_goal 的抽屉 t0 两初态首跑也都失败。现场试错使系统有机会适应偏差，但当工具反馈没有明确说明失败阶段时，高层会继续为相似动作支付规划和执行成本。应先检查这些重复中是否改变了目标、接近方向或抓持状态，再决定哪些尝试交给局部恢复。〔L10、L19；E3 记录，E3 解释〕</w:t>
      </w:r>
    </w:p>
    <w:p>
      <w:pPr>
        <w:pStyle w:val="Heading2"/>
        <w:pageBreakBefore w:val="0"/>
      </w:pPr>
      <w:r>
        <w:t>3.5  重试挽救了失败 也增加了成本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对普通模式六个失败身份各重跑一次，五个转为成功：Object Swap 的覆盖从 18/20 变为 20/20，libero_goal 从 16/20 变为 19/20。两个 Object Swap 败局重跑分别在 601、617 秒完成；goal t5_s1 却从首跑 823 秒失败，变成重跑 4,795 秒成功。特定抽屉布局 goal t0_s0 仍反复失败。这些结果说明，重新开始有时能离开不利动作路径，也说明成功轨迹未必短。〔L10；报告结果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60"/>
        <w:gridCol w:w="3946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已做的检查</w:t>
            </w:r>
          </w:p>
        </w:tc>
        <w:tc>
          <w:tcPr>
            <w:tcW w:type="dxa" w:w="396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收益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代价或对应现象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六个失败身份重试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新增 5 次成功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新增约 16.9M Token；约 3.4M Token／新增成功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按上下文、decode、请求数阈值回测早停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四个失败集可省 22.2M Token，约全批 21.5%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同时截断 5 个最终成功集；总成功率降低 12.5 个百分点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检查接近请求上限的 10 集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其中 6 集最终成功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请求数高表示任务困难，不能直接判定必败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L10；E3 原批记录，E3 回测结论。重试结果与首跑分列；阈值早停是离线回测，截断后重跑的组合策略尚未实跑。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因此，恢复触发应加入任务证据：相同物体连续抓空、物体没有随夹爪运动，或同一目标下残差长期不降。先在当前场景内重新观察、改变接近方式并限制恢复预算；仍无进展时返回高层。整集重置则作为另一种策略单独比较，把原失败、重试成本和新增成功全部计入。下一轮真正要测的是哪一种恢复改变了失败路径，而不是预设到达某个 Token 数就停止。〔L10、L11；E3 设计〕</w:t>
      </w:r>
    </w:p>
    <w:p>
      <w:pPr>
        <w:pStyle w:val="Heading2"/>
        <w:pageBreakBefore w:val="0"/>
      </w:pPr>
      <w:r>
        <w:t>3.6  用阶段结果解释长任务失败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后续 120 集将高层换成 Astra 与 Sol，均为 medium，使用冻结任务资产和记忆。Spatial Swap 两模型都完成 20/20；Long Swap 分别只有 11/20、12/20。普通任务中的工具组合已经能完成多数目标，较长的抓取、搬运、插入和关门序列则成为下一步诊断重点。该批普通任务失败不重跑，与前述 retry-once 分开统计。〔L04；报告结果 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为看清动作过程，另做 t0 双罐与 t9 微波炉的八集深测。t0 中 Astra 两集各使用 15 个 π 动作块并成功；Sol seed0 两次 pick 各用 14 块、均未满足局部验收，但整集成功。Sol seed1 则进行了 8 次 pick、116 块，最终失败，其中后段六次失败 pick 消耗 88 块、268.72 秒。单次 pick 的返回值与整集结果并不等价。下一步需要把 false 拆开：对象未对准、未建立抓持、举升未达阈值，还是验证信息不足，才能选择对应的恢复动作。〔L06；报告结果 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源码显示 pi0_pick 的验收依据末端下降、随后抬升和夹爪条件。这些量反映动作过程，需要结合物体是否随夹爪移动来判断抓持。Sol seed1 有一次已满足夹爪条件，但抬升只有 0.0222m，低于 0.05m；简单放宽夹爪阈值并不对应这次失败原因。可以先增加 confirmed／lost／unknown 三类抓持状态，保留观测帧、目标关联和判断依据，再测误报、漏报与恢复后结果。〔L06 源码摘录、L11；E1 机制，E3 数值，E3 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t9 四集都失败。Astra seed0 的 14 次移动耗满预算，共消耗 672.90 秒；Sol seed0 的五次接触工具调用使用 84 个 π 块。这里的工具 success 直接取整任务 terminated，原记录没有分别保存杯子 In 和门 Close，因此能够定位的是“调用未使整任务完成”。下一轮分别记录抓杯、送入、释放撤手和关门的效果，再决定复合技能的边界。〔L06、L11，E1/E3〕</w:t>
      </w:r>
    </w:p>
    <w:p>
      <w:pPr>
        <w:pStyle w:val="Heading2"/>
        <w:pageBreakBefore w:val="0"/>
      </w:pPr>
      <w:r>
        <w:t>3.7  先改状态检查与恢复 再比较 JEV 选择器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上述结果支持按以下顺序改动 RPent。先让新检查只记录、不控制动作，确认它能区分抓持、空动和未知；随后将同样的状态交给原高层，再增加局部恢复，最后扩大单个技能覆盖的动作范围。这样每次变化都有对应问题：信息是否改善判断、恢复是否挽救失败、技能是否减少往返。〔L11；E3 设计〕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60"/>
        <w:gridCol w:w="3946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对照</w:t>
            </w:r>
          </w:p>
        </w:tc>
        <w:tc>
          <w:tcPr>
            <w:tcW w:type="dxa" w:w="396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唯一新增的机制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主要看什么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当前 RPent → 提供阶段状态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抓持与进展证据送给原高层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误判、调用变化、阶段与最终成功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阶段状态 → 局部恢复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固定预算的重观察与重试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挽救数、误触发、重复动作与耗时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局部恢复 → 复合技能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组合现有定位、π、搬运和释放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减少的高层请求与新增局部成本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固定候选下更换选择器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规则／Astra／JEV 分别选同一组候选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选择质量、完整延迟、最终任务表现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L09、L11；E3 方案。先固定 planner、模型档位、π／感知、记忆、初态及预算。诊断先做独立校验；环境子谓词供评分，不加入普通视觉策略输入。各机制冻结后使用留出初态。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JEV 适合放在最后一项选择器对照。embodied-jev 的 LIBERO v2 由 GPT 比较前后画面、提出 2–3 个短动作，Jev 或 GPT 选择候选、速度档或重新观察，实际运动由确定性伺服执行；每个候选最多四段、每段五步，到位或停滞会刷新。它提供的是有限候选决策，不直接生成 π 那样的连续动作块。若接入 RPent，可以让它选择继续、重新定位、换接近方式或返回高层，并保留 π 处理接触动作。〔L09、W18；E1 机制，E3 接入设计〕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本机已经验证的是规则基线：三个内置任务各三个 seed，9/9 成功、模型调用为零，另有 94 项测试通过。Jev 的 HTTP 路径与本地 MiniCPM 候选评分路径完成了源码核查；本机没有据此取得 Jev 模型的任务成功率。首轮可先固定状态与候选做离线规则／Astra／JEV 对照，再把选择结果接回同一执行器。候选生成、额外观察和选择请求的时间都计入，才能判断小选择器是否真的减少了高层等待。〔L09；E3 本地验证记载，E1 路径，E3 设计〕</w:t>
      </w:r>
    </w:p>
    <w:p>
      <w:pPr>
        <w:pStyle w:val="Heading2"/>
        <w:pageBreakBefore w:val="0"/>
      </w:pPr>
      <w:r>
        <w:t>3.8  把有效经验和适用条件保存下来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Flash 的名称错位、抽屉的目标混淆和长任务的反复调整，都说明记忆除了操作顺序，还要保存适用条件与失败证据。例如“目标没有随夹爪抬升”可以直接记录；“接近高度一定错误”仍是待检验的解释。技能条目应写明对象绑定、坐标来源、前置条件、完成检查和退出条件，使新场景能够重新定位，而不是照搬旧坐标。〔L03、L10–L12；E3 综合分析〕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COAP 提供了把显式状态和操作分支写入程序的参考，正好对应 RPent 已观察到的重复工具往返；迁移时仍使用现有感知和 π。EmbodiedEvo 则提示如何组织经验：其开发集用 Skills／Lessons 时成功率为 30.17%，原始历史为 29.78%，对应每集 Test 费用为 5.732 与 12.203 美元；这是作者按固定模型费率计算的测试成本，经验获取成本另列。对我们最有用的问题是，同源的结构化经验能否保留恢复判断，同时减少读入历史的成本。〔L11、L12、W11、W12；E3 作者结果与研究推断〕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因此可保留当前 RPent 记忆不变，分别增加诊断 Lessons、同源 Lessons 加已验证 Skills，以及同一次探索的完整公开历史。固定选择器与执行技能后，比较任务成功、错误经验引发的动作、输入量和整集时间；探索与验证成本另记。它承接前面的状态检查和恢复实验：先确认哪些做法有效，再把适用条件保存下来，供后续任务调用。〔L12；E3 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到这里，实验已经展示了三种额外工作：逐块审核、未推进任务的重复调用，以及错误后的恢复。接下来用 RPent 的整批计时和独立深测，计算这些工作实际消耗了多少时间，再判断先改哪一段。〔E3〕</w:t>
      </w:r>
    </w:p>
    <w:p>
      <w:pPr>
        <w:pStyle w:val="Heading1"/>
        <w:pageBreakBefore w:val="0"/>
      </w:pPr>
      <w:r>
        <w:t>4  RPent 性能 从整集差异到恢复过程</w:t>
      </w:r>
    </w:p>
    <w:p>
      <w:pPr>
        <w:pStyle w:val="Heading2"/>
        <w:pageBreakBefore w:val="0"/>
      </w:pPr>
      <w:r>
        <w:t>4.1  120 集的成功数接近 完成成本不同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性能分析先计算为了得到一个成功结果，系统实际消耗了多少时间和调用。RPent 正式对照覆盖 3 个套件、每套件 20 个相同任务身份、Astra 与 Sol 各 60 集，共 120 集。环境成功为 Astra 50/60、Sol 49/60，累计回合工作量为 123408.4 秒，记录到 5014 个独立计量响应。总体成功数仅差 1 集，但这不等于两种策略的运行效率接近。〔E3；S1 逐集复算〕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37376" cy="2372387"/>
            <wp:docPr id="1" name="Picture 1" descr="每点为一个回合 圆点成功 叉号失败 横线为中位数〔S1 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ent12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237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图 01  每点为一个回合 圆点成功 叉号失败 横线为中位数〔S1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1440"/>
        <w:gridCol w:w="1512"/>
        <w:gridCol w:w="1512"/>
        <w:gridCol w:w="1512"/>
        <w:gridCol w:w="1930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套件／模型</w:t>
            </w:r>
          </w:p>
        </w:tc>
        <w:tc>
          <w:tcPr>
            <w:tcW w:type="dxa" w:w="144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成功数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均值 s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p50 s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p95 s</w:t>
            </w:r>
          </w:p>
        </w:tc>
        <w:tc>
          <w:tcPr>
            <w:tcW w:type="dxa" w:w="193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平均请求数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Spatial Task／Astra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19/20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787.42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676.85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1134.41</w:t>
            </w:r>
          </w:p>
        </w:tc>
        <w:tc>
          <w:tcPr>
            <w:tcW w:type="dxa" w:w="193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32.00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Spatial Task／Sol</w:t>
            </w:r>
          </w:p>
        </w:tc>
        <w:tc>
          <w:tcPr>
            <w:tcW w:type="dxa" w:w="144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1248.62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811.60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3888.39</w:t>
            </w:r>
          </w:p>
        </w:tc>
        <w:tc>
          <w:tcPr>
            <w:tcW w:type="dxa" w:w="193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43.20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Spatial Swap／Astra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20/20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586.92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560.05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801.08</w:t>
            </w:r>
          </w:p>
        </w:tc>
        <w:tc>
          <w:tcPr>
            <w:tcW w:type="dxa" w:w="193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28.95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Spatial Swap／Sol</w:t>
            </w:r>
          </w:p>
        </w:tc>
        <w:tc>
          <w:tcPr>
            <w:tcW w:type="dxa" w:w="144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20/20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943.69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828.85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1674.90</w:t>
            </w:r>
          </w:p>
        </w:tc>
        <w:tc>
          <w:tcPr>
            <w:tcW w:type="dxa" w:w="193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43.25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Long Swap／Astra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11/20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973.72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919.45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1845.14</w:t>
            </w:r>
          </w:p>
        </w:tc>
        <w:tc>
          <w:tcPr>
            <w:tcW w:type="dxa" w:w="193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44.65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Long Swap／Sol</w:t>
            </w:r>
          </w:p>
        </w:tc>
        <w:tc>
          <w:tcPr>
            <w:tcW w:type="dxa" w:w="144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12/20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1630.06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1332.75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2565.85</w:t>
            </w:r>
          </w:p>
        </w:tc>
        <w:tc>
          <w:tcPr>
            <w:tcW w:type="dxa" w:w="193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58.65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同套件每模型 n=20，时间含成功与失败回合；p95 按排序后 (n−1)×0.95 线性插值。输入 Token 累计含每轮重复历史，cached input 是 input 子集，reasoning 是 output 子集。S1；统计〔E3〕。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三个套件里，Astra 的平均请求数和平均回合时间均较低。Spatial Task 的 Sol 均值为 1248.62 秒、p50 为 811.60 秒，p95 升至 3888.39 秒，说明少量长回合对总成本影响很大。只报均值会把这种尾部摊平；只报成功率又会丢掉成功之前反复尝试的代价。因此后续评测同时保留成功数、整集时间分布、调用数和失败恢复时间。〔E3〕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Long Swap 更能说明指标选择的重要性。Astra 全批 19474.4 秒得到 11 个成功产出，Sol 全批 32601.1 秒得到 12 个成功产出，分别相当于每个成功产出承担 1770.40 秒和 2716.76 秒本批工作量。这个“全批总耗时÷成功数”把失败代价计入产出成本，适合评估实验吞吐；成功回合均值则描述已经完成任务时的效率，两者需要同时阅读。〔E3〕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对研发而言，这两个指标对应两类改进。缩短成功路径能提高已经会做的任务的吞吐；减少失败路径的反复尝试，则既释放实验资源，也有机会提升成功产出。当前 Long Swap 的成功数相近、产出成本差距较大，因此下一阶段应把失败类型与恢复代价列为主要指标，并比较延长时间预算的收益。〔E3；研究判断〕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下一步必须把“同一任务完成得更快”与“成功、失败构成不同”分开，才能决定优化模型单次推理，还是优化动作选择与恢复。为此，先按套件、任务和 seed 配对，再进入每集时间的构成。</w:t>
      </w:r>
    </w:p>
    <w:p>
      <w:pPr>
        <w:pStyle w:val="Heading2"/>
        <w:pageBreakBefore w:val="0"/>
      </w:pPr>
      <w:r>
        <w:t>4.2  配对任务中的额外时间来自哪里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Spatial Swap 的 20 对任务均由两模型完成，是观察同完成条件下效率的主证据：Astra 累计 11738.4 秒，Sol 18873.7 秒；Astra 总耗时少 37.81%。相同任务身份的 Long Swap 若使用全部 20 对，Sol 比 Astra 多 67.40%；缩到共同成功的 8 对后，两者分别为 7934.2 与 8470.6 秒，差距变成 6.76%。因此，Long Swap 的全批差异显著受失败路径及长尾构成影响。共同成功子集用来解释完成后的效率，全批保留失败成本，两者共同支持判断。〔E3；S1〕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37376" cy="1638223"/>
            <wp:docPr id="2" name="Picture 2" descr="Spatial Swap 每模型 20 集均成功 五类平均时间相加等于平均回合时间 SDK 非工具含模型请求与相关等待〔S1 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swap_buck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163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图 02  Spatial Swap 每模型 20 集均成功 五类平均时间相加等于平均回合时间 SDK 非工具含模型请求与相关等待〔S1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261"/>
        <w:gridCol w:w="2261"/>
        <w:gridCol w:w="3384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互斥时间类别</w:t>
            </w:r>
          </w:p>
        </w:tc>
        <w:tc>
          <w:tcPr>
            <w:tcW w:type="dxa" w:w="2261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120 集累计 s</w:t>
            </w:r>
          </w:p>
        </w:tc>
        <w:tc>
          <w:tcPr>
            <w:tcW w:type="dxa" w:w="2261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占回合工作量</w:t>
            </w:r>
          </w:p>
        </w:tc>
        <w:tc>
          <w:tcPr>
            <w:tcW w:type="dxa" w:w="338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Spatial Swap 的 Sol−Astra 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手工原语</w:t>
            </w:r>
          </w:p>
        </w:tc>
        <w:tc>
          <w:tcPr>
            <w:tcW w:type="dxa" w:w="22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45327.570</w:t>
            </w:r>
          </w:p>
        </w:tc>
        <w:tc>
          <w:tcPr>
            <w:tcW w:type="dxa" w:w="22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36.73%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2182.320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VLA 原语</w:t>
            </w:r>
          </w:p>
        </w:tc>
        <w:tc>
          <w:tcPr>
            <w:tcW w:type="dxa" w:w="226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9367.080</w:t>
            </w:r>
          </w:p>
        </w:tc>
        <w:tc>
          <w:tcPr>
            <w:tcW w:type="dxa" w:w="226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7.59%</w:t>
            </w:r>
          </w:p>
        </w:tc>
        <w:tc>
          <w:tcPr>
            <w:tcW w:type="dxa" w:w="338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932.990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工具其余</w:t>
            </w:r>
          </w:p>
        </w:tc>
        <w:tc>
          <w:tcPr>
            <w:tcW w:type="dxa" w:w="22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12429.824</w:t>
            </w:r>
          </w:p>
        </w:tc>
        <w:tc>
          <w:tcPr>
            <w:tcW w:type="dxa" w:w="22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10.07%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697.927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SDK 非工具</w:t>
            </w:r>
          </w:p>
        </w:tc>
        <w:tc>
          <w:tcPr>
            <w:tcW w:type="dxa" w:w="226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53394.026</w:t>
            </w:r>
          </w:p>
        </w:tc>
        <w:tc>
          <w:tcPr>
            <w:tcW w:type="dxa" w:w="226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43.27%</w:t>
            </w:r>
          </w:p>
        </w:tc>
        <w:tc>
          <w:tcPr>
            <w:tcW w:type="dxa" w:w="338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3321.863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SDK 外</w:t>
            </w:r>
          </w:p>
        </w:tc>
        <w:tc>
          <w:tcPr>
            <w:tcW w:type="dxa" w:w="22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2889.900</w:t>
            </w:r>
          </w:p>
        </w:tc>
        <w:tc>
          <w:tcPr>
            <w:tcW w:type="dxa" w:w="22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2.34%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0.200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五类按互斥区间归并，总和等于 episode 工作量；恢复动作归入对应工具，模型加载另列。120 集模型加载累计 20817.6 秒，不加回本表。Spatial Swap 差额分母为 7135.3 秒。S1；统计〔E3〕。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全批 SDK 非工具占 43.27%，手工与 VLA 原语合计 44.32%，是两块接近的主要成本。SDK 非工具包括模型调用、运行时和通信等待；动作原语包含技能执行中的仿真、观测和渲染。五类回答“时间落在哪里”，还没有回答“落在某类里的哪个计算阶段”。将 VLA 原语全当作 π 模型前向，或将 SDK 非工具全当作 thinking，都会把优化目标选偏。〔E3〕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在完成率相同的 Spatial Swap 中，SDK 非工具解释总差额的 46.56%，手工原语与 VLA 原语解释 43.66%，工具其余解释 9.78%。Astra 的 579 次请求、186 个动作、175 个 π 块，对应 Sol 的 865 次请求、286 个动作、407 个 π 块。更长的运行伴随着更多调用和执行；性能差异已经跨过云端和本地两侧。〔E3〕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进一步把 SDK 非工具时间分成调用次数与每次均摊成本两个因素。Astra 每次分摊 7.401 秒，Sol 为 8.794 秒。用两模型平均成本计算新增 286 次调用的影响，再用两模型平均调用数计算单位成本变化，3321.863 秒差额可分成两项：调用数项 2315.970 秒，占 69.72%；均摊成本项 1005.893 秒，占 30.28%。这是一种对称的账面分解，均摊成本包含请求内容与服务等待的变化。它说明当前 SDK 差额中，调用数量占很大权重，后续需要检查这些调用完成了哪些有效判断。〔E3；公式和精确值见复算附件〕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Token 账本也呈现同一方向：Spatial Swap 的累计输入为 Astra 3350.19 万、Sol 5843.51 万，累计输出为 92009 与 161138 Token；Sol 的 reasoning Token 更达到 Astra 的 5.34 倍。输入反复携带历史，减少无效调用因而不仅节省固定往返，还会截断后续上下文增长。至于 reasoning Token 多是否代表更慢的思考，仍应以有效阶段时间检验；这正是后续引入 DeepSeek 流式分段的原因。〔E3〕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Long Swap 的 13126.7 秒总差额中，共同成功 8 对只贡献 536.4 秒，其余 12 对贡献 12590.3 秒，占 95.91%。这 12 对包含一方成功或双方失败的组合。它把后续轨迹审查的重点进一步缩小：优先定位任务在哪个阶段分叉、失败后怎样恢复，再检查已共同成功路径上的单次执行速度。〔E3〕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由此形成两个并行问题：执行侧到底在渲染、物理还是 π 上花时间；多出来的调用是否来自重复抓取和恢复。下一组独立深测正是为这两个问题增加采集粒度。</w:t>
      </w:r>
    </w:p>
    <w:p>
      <w:pPr>
        <w:pStyle w:val="Heading2"/>
        <w:pageBreakBefore w:val="0"/>
      </w:pPr>
      <w:r>
        <w:t>4.3  八集深测定位渲染成本和动作块延迟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深测选择 t0、t9 两场景，各两个 seed、两个模型，共 8 个采纳回合，包含 3 次成功和 5 次正常失败。累计工作量 10965.3 秒，448 个逻辑采样、473 次采样尝试、448 个完成响应，以及 371 个 π 动作块。它是独立实验，用来解释内部机制；正式 120 集的成功率分母保持原样。另有两个 OOM 尝试消耗 3205.2 秒回合工作量，单独计入基础设施成本。〔E3；S2〕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750"/>
        <w:gridCol w:w="2750"/>
        <w:gridCol w:w="2621"/>
      </w:tblGrid>
      <w:tr>
        <w:trPr>
          <w:cantSplit/>
          <w:tblHeader/>
        </w:trPr>
        <w:tc>
          <w:tcPr>
            <w:tcW w:type="dxa" w:w="201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深测阶段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累计 s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占 8 集工作量／内部占比</w:t>
            </w:r>
          </w:p>
        </w:tc>
        <w:tc>
          <w:tcPr>
            <w:tcW w:type="dxa" w:w="2621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sim.render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4391.179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40.05%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原语窗口内渲染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物理 step1＋step2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121.481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1.11%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物理步进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π handler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198.653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1.81%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371 次模型服务处理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其中 π prefix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96.186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handler 的 48.42%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前缀处理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其中 denoise core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86.142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handler 的 43.36%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去噪核心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prefix、denoise 嵌套于 handler；渲染/物理嵌套于动作。各层级不能再次相加。S2 report-data、quantitative-conclusion；统计〔E3〕。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执行侧最明显的热点是图像生成与读回。源码显示相机 observation 通过 sim.render 生成，环境步进循环更新 observables，离屏渲染路径包含场景更新和像素读回。也就是说，动作执行会持续触发视觉观测成本，并非只有显式“看一眼”时才发生。优化应先测相机采样频率、分辨率、无消费图像的渲染次数和读回同步，而不是一开始就假设物理求解器最慢。〔E1；S3 render-path-audit 引用源码〕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若 π handler 耗时减半、其余工作量保持不变，整批预计节省 99.326 秒，即 0.91%。若只从账本扣除已测渲染，剩余 T* 为 6574.121 秒，此时同一项节省占 1.51%，SDK 非工具占 T* 的 63.70%。这是一项定位优先级的敏感性分析：仿真吞吐先查渲染；减少高层等待和重复调用，在扣除渲染后依然重要。〔E3；条件计算〕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实时控制的排序不同。固定观测校准采用相同 π 权重、输入与种子，关闭 mask 计数同步；预热后 none 与 stages 各测 3 次，中位完成延迟为 361.047 与 363.719 毫秒，插桩增加 2.672 毫秒，即 0.74%，动作逐字节相同。该输入一次返回 5 个环境动作。以 20 Hz 控制目标、每步 50 毫秒计算，5 步覆盖 250 毫秒，361 毫秒推理已超过动作窗口，需要约 1.44 倍加速，或靠提前推理与缓冲覆盖。〔E2 配置；E3 复算及条件计算；S3〕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加载与异常恢复也进入部署账本：120 集记录的加载累计为 20817.6 秒，深测中两个 OOM 尝试还额外消耗了 3205.2 秒回合工作量。常驻模型服务可以摊薄加载，但资源不足导致的重启会重新支付这笔成本。下一次吞吐测量应先报告冷启动、预热后正常回合和异常恢复三组时间，再比较常驻服务及并发策略。这样，芯片利用率提升才会体现在整批有效任务产出上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所以“π 在整集里只占 1.81%”与“π 仍限制连续控制”并不矛盾：前者是累计吞吐占比，后者是局部交付期限。后续本地实验应同时记录整集工作量、动作块 p95/p99、buffer 耗尽与 deadline miss。接着再看轨迹，确认多少动作块实际上消耗在重复恢复上。</w:t>
      </w:r>
    </w:p>
    <w:p>
      <w:pPr>
        <w:pStyle w:val="Heading2"/>
        <w:pageBreakBefore w:val="0"/>
      </w:pPr>
      <w:r>
        <w:t>4.4  重复抓取怎样拉长请求与动作链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t0/seed1 给出一个能直接讲清楚的问题链：Astra 在 1049.1 秒完成，Sol 用了 2176.5 秒后失败。按客户端时钟分别画请求生命周期与工具区间，两者都呈现多次往返，Sol 的请求和动作链持续得更久。请求生命周期可能跨越工具区间，图中两行用于显示顺序和间隙；本地 π、渲染与动作时间使用独立时钟，阶段归属通过动作序列对应。〔E3；S2 timeline_v2〕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37376" cy="2190353"/>
            <wp:docPr id="3" name="Picture 3" descr="t0 seed1 客户端请求与工具时间轴 两行有重叠 不相加〔S2 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ent_recovery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219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图 03  t0 seed1 客户端请求与工具时间轴 两行有重叠 不相加〔S2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1440"/>
        <w:gridCol w:w="1512"/>
        <w:gridCol w:w="1512"/>
        <w:gridCol w:w="1512"/>
        <w:gridCol w:w="1930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t0/seed1</w:t>
            </w:r>
          </w:p>
        </w:tc>
        <w:tc>
          <w:tcPr>
            <w:tcW w:type="dxa" w:w="144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回合 s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逻辑采样／</w:t>
              <w:br/>
              <w:t>尝试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π 块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SDK 非工具 s</w:t>
            </w:r>
          </w:p>
        </w:tc>
        <w:tc>
          <w:tcPr>
            <w:tcW w:type="dxa" w:w="193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渲染 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Astra 成功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1049.1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41／42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15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415.093</w:t>
            </w:r>
          </w:p>
        </w:tc>
        <w:tc>
          <w:tcPr>
            <w:tcW w:type="dxa" w:w="193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389.224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Sol 失败</w:t>
            </w:r>
          </w:p>
        </w:tc>
        <w:tc>
          <w:tcPr>
            <w:tcW w:type="dxa" w:w="144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2176.5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77／83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116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1009.621</w:t>
            </w:r>
          </w:p>
        </w:tc>
        <w:tc>
          <w:tcPr>
            <w:tcW w:type="dxa" w:w="193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741.085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同场景、同 seed 的代表回合；用于机制案例，分母不是 120 集总体。请求时间轴仅用 client lane，工具/请求行不相加。S2；统计〔E3〕。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Astra 的 21 个本地动作中调用两次 pi0_pick，最后 move_to 后观察到任务终止；Sol 的 34 个动作中调用八次 pi0_pick，任务仍未完成。其逻辑采样增至 77、π 块增至 116，反映的不是单个推理阶段普遍变慢，而是抓取—观察—调整—再抓取链条被反复执行。每次重复既会增加模型输入历史，也会增加本地动作、相机渲染和再次验证。〔E3〕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Sol 第 18–34 个动作累计执行 562.942 秒，其中渲染 447.543 秒、其余执行 115.399 秒；这些动作在本地时间轴上从 660.672 秒延伸至 1858.561 秒，跨度 1197.889 秒，中间还包含请求与其他等待。前一个数字度量恢复动作自身成本，后一个数字体现恢复链经过多少墙钟时间。二者合起来解释了为什么仅加速 π 前向无法消除整个长尾。〔E3〕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这里最直接的 Harness 改进是把技能前置条件和完成条件显式化：抓取后检验物体是否随夹爪运动，失败后先重定位并限制无进展重试，再选择局部修正或高层重规划。下一轮保持 planner 与 π 权重不变，先加入状态验收，再加入恢复策略，比较每个有效抓取的请求数、π 块数、恢复段时间和终局成功。这样能把“模型判断得更准”转化为可归因的少调用、少动作。DeepSeek 的思考档位实验进一步检验：让一次请求更便宜，会不会改变这条轨迹？〔E3；实验设计〕</w:t>
      </w:r>
    </w:p>
    <w:p>
      <w:pPr>
        <w:pStyle w:val="Heading1"/>
        <w:pageBreakBefore w:val="0"/>
      </w:pPr>
      <w:r>
        <w:t>5  DeepSeek 性能 从思考档位到请求阶段</w:t>
      </w:r>
    </w:p>
    <w:p>
      <w:pPr>
        <w:pStyle w:val="Heading2"/>
        <w:pageBreakBefore w:val="0"/>
      </w:pPr>
      <w:r>
        <w:t>5.1  降低思考预算后 单次与整集可能反向变化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DeepSeek 两场景实验分为原始非流式 8 集和独立流式补测 8 集，各含 medium、none 两档。每批每档都是 t0 两身份记录 recipe/finish 成功，t9 两身份未成功；因此下表用两档共同成功的 t0 做配对，并将 t9 的失败/退出方式保留在附件。成功依据采用该批 finish 记录，后续统一接入环境终态评估器。〔E3；S4 audited-data〕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37376" cy="2421462"/>
            <wp:docPr id="4" name="Picture 4" descr="两批分别配对 标签保留逻辑请求数〔S4 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_paired_ru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242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图 04  两批分别配对 标签保留逻辑请求数〔S4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232"/>
        <w:gridCol w:w="2002"/>
        <w:gridCol w:w="1800"/>
        <w:gridCol w:w="1800"/>
      </w:tblGrid>
      <w:tr>
        <w:trPr>
          <w:cantSplit/>
          <w:tblHeader/>
        </w:trPr>
        <w:tc>
          <w:tcPr>
            <w:tcW w:type="dxa" w:w="230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批次／身份</w:t>
            </w:r>
          </w:p>
        </w:tc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medium→none 回合 s</w:t>
            </w:r>
          </w:p>
        </w:tc>
        <w:tc>
          <w:tcPr>
            <w:tcW w:type="dxa" w:w="200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none 时间变化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逻辑请求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工具调用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非流式 t0/s0</w:t>
            </w:r>
          </w:p>
        </w:tc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1000.9→1432.6</w:t>
            </w:r>
          </w:p>
        </w:tc>
        <w:tc>
          <w:tcPr>
            <w:tcW w:type="dxa" w:w="20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＋43.13%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26→46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46→102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非流式 t0/s1</w:t>
            </w:r>
          </w:p>
        </w:tc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966.8→769.7</w:t>
            </w:r>
          </w:p>
        </w:tc>
        <w:tc>
          <w:tcPr>
            <w:tcW w:type="dxa" w:w="200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−20.39%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27→26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78→51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流式 t0/s0</w:t>
            </w:r>
          </w:p>
        </w:tc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1497.8→1043.1</w:t>
            </w:r>
          </w:p>
        </w:tc>
        <w:tc>
          <w:tcPr>
            <w:tcW w:type="dxa" w:w="20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−30.36%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37→31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80→62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流式 t0/s1</w:t>
            </w:r>
          </w:p>
        </w:tc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828.9→805.1</w:t>
            </w:r>
          </w:p>
        </w:tc>
        <w:tc>
          <w:tcPr>
            <w:tcW w:type="dxa" w:w="200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−2.87%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26→26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63→52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每行同批同任务同 seed 配对；批次间服务时段、轨迹和输入均会变化。8 组流式初始工具数均为 17、输出上限 8192，但 system/tools 内容哈希随运行不同。下轮去掉动态运行字段后冻结语义内容。S4、S5；统计〔E3〕。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非流式 t0/s0 是“单次更快但整集更慢”的明确案例：none 的累计请求时长÷逻辑请求数为 17.514 秒，medium 为 18.391 秒，均摊值下降 4.77%；然而请求数由 26 增至 46、工具数由 46 增至 102，累计请求时间从 478.177 增至 805.664 秒，整集最终多花 431.7 秒。降低思考预算带来的单次收益，被更长的执行路径覆盖。〔E3〕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两份非流式 t0 合计，none 从 1967.7 增至 2202.3 秒，多 11.92%；两份流式 t0 合计则由 2326.7 降至 1848.2 秒，少 20.57%。流式 t0/s0 同时减少调用和请求均摊成本，因而收益最大；流式 t0/s1 两档逻辑请求均为 26，累计模型请求节省 94.495 秒，但整集只节省 23.8 秒，其余回合成本相应增加 70.695 秒。可见动作路线与工具耗时即使在请求数相同的时候，也会抵消云端收益。〔E3〕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这组证据支持把 low/none 设为任务阶段相关的预算选择：标准化状态确认可优先低预算，空间歧义、失败恢复和子目标切换保留较强判断。验证分两层展开：先用同请求体测延迟和输出一致性，再用同初态跑闭环，观察成功率、调用数与恢复成本。为了知道单次请求到底该改哪里，下一节进一步拆开首输出等待与输出生成窗口。〔E3；实验设计〕</w:t>
      </w:r>
    </w:p>
    <w:p>
      <w:pPr>
        <w:pStyle w:val="Heading2"/>
        <w:pageBreakBefore w:val="0"/>
      </w:pPr>
      <w:r>
        <w:t>5.2  流式配对任务主要等待首个有效输出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计时采集从响应流中寻找首个非空 reasoning、content 或 tool_calls delta，最早出现者定义为有效首输出。TPOT 用“首有效输出至最后 chunk 的时长÷(completion tokens−1)”计算，是每个请求的均摊输出时间。它包含流传输与协议尾部；可见 thinking 为首 reasoning 至首正文/工具输出的窗口。完整请求、TTFT、窗口和 Token 分配估算分别保留，服务端 prefill 与 kernel 时长由后续服务端 trace 补齐。〔E1；S5 measurement-source、proxy-source-audit〕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原始非流式批次有 306 条响应记录，缺有效首输出标记；流式补测有 178 次尝试、177 个逻辑请求、177 个有效 TTFT。单独采集的代理库存另有 25 文件、484 行：其中 355 条有效流式记录为 DeepSeek 287 条、Qwen 68 条。经过运行映射，最终阶段表由流式 178 行和精确归属的 DeepSeek 280 行组成，共 458 行、23 组，其中 457 行有有效 TTFT；v5 等单局已经包含其中。这个身份台账保证后续详表复用数据时不重复增加实验数。〔E3；S4〕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60"/>
        <w:gridCol w:w="3946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流式共同成功 t0</w:t>
            </w:r>
          </w:p>
        </w:tc>
        <w:tc>
          <w:tcPr>
            <w:tcW w:type="dxa" w:w="396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medium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逻辑请求／尝试／有效 TTFT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63／64／63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57／57／57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完整请求 p50／p95，s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17.371／40.855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12.272／21.290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TTFT p50／p95，s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11.891／21.359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10.595／16.893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TPOT p50／p95，ms/token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5.667／14.171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4.374／7.105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累计完整请求，s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1238.435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715.819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累计有效 TTFT，s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776.094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607.904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累计可见 thinking／正文工具窗口，s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376.252／73.677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0／107.915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失败尝试，s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12.412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0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每档 2 个成功身份，分位数在逐请求记录上计算；medium 的失败尝试纳入完整请求总量，TTFT 与窗口仅纳入有效行。TPOT 的 p50/p95 是请求均摊值的分布。S4；统计〔E3〕。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这四集累计请求 1954.255 秒，其中有效 TTFT 为 1383.998 秒，占 70.82%。none 去除了可见 thinking，仍需等待 607.904 秒才陆续拿到首输出。因此该批优先事项是减少输入准备、传输、历史上下文与服务等待，再进一步压缩输出。若只把 thinking 清零，剩余的首输出等待依然构成主要成本。〔E3〕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输出组成也发生了变化。medium 的 61835 个输出 Token 中，45618 个是 reasoning，余下 16217 个为其他输出；none 共输出 23370 个 Token，比 medium 的非 reasoning 部分多 44.11%。尽管 none 少了 6 个逻辑请求，正文/工具窗口仍从 73.677 增至 107.915 秒。这说明关闭思考后，输出协议、参数长度和调用内容也会改变；优化完整请求应同时限制重复解释和无必要的工具参数，而不是仅把 reasoning Token 当作全部可削减项。〔E3〕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medium 的可见 thinking 累计 376.252 秒，按 reasoning Token 占比平分输出窗口得到的估算为 352.550 秒，两者相差 23.702 秒。这不是重复测了同一段时间，而是事件窗口和按 Token 分摊两种定义。正文用观测窗口定位问题，估算列留给预算分析；同样，旧报告的 0.7 毫秒“TPOT”实际是 delta 字段到达间隔，不能与本表按 Token 归一的值合并。〔E1 定义；E3 复算〕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首输出占比由输入形态和输出任务共同决定。代理阶段表中的后续 v5 单局恰好提供另一种情形：首输出已经较短，长尾转移到了思考和工具参数输出。下一节沿它的 15 次请求逐条展开。</w:t>
      </w:r>
    </w:p>
    <w:p>
      <w:pPr>
        <w:pStyle w:val="Heading2"/>
        <w:pageBreakBefore w:val="0"/>
      </w:pPr>
      <w:r>
        <w:t>5.3  v5 的两次长请求分别卡在思考和记录输出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v5 单局记录 15 次请求、182.5 秒回合时间。请求累计 93.592 秒，均值 6.239 秒，而 p50 只有 3.548 秒，p95 达 18.924 秒。首输出累计 27.256 秒占 29.12%，首输出之后 66.336 秒占 70.88%，与上一组共同成功任务的瓶颈位置相反。图 05 保留全部 15 次请求，按 TTFT、可见 thinking 和正文/工具窗口分段。其中第 11 次和第 14 次的等待最突出。〔E3；S4、S6〕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37376" cy="2197291"/>
            <wp:docPr id="5" name="Picture 5" descr="v5 全部 15 请求的有效事件窗口 第 11 和第 14 次合计占请求时间 43.87%〔S4 S6 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request_windo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219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图 05  v5 全部 15 请求的有效事件窗口 第 11 和第 14 次合计占请求时间 43.87%〔S4 S6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1440"/>
        <w:gridCol w:w="1512"/>
        <w:gridCol w:w="1512"/>
        <w:gridCol w:w="1512"/>
        <w:gridCol w:w="1930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代表请求</w:t>
            </w:r>
          </w:p>
        </w:tc>
        <w:tc>
          <w:tcPr>
            <w:tcW w:type="dxa" w:w="144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完整 s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TTFT s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可见 thinking s</w:t>
            </w:r>
          </w:p>
        </w:tc>
        <w:tc>
          <w:tcPr>
            <w:tcW w:type="dxa" w:w="151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正文／工具 s</w:t>
            </w:r>
          </w:p>
        </w:tc>
        <w:tc>
          <w:tcPr>
            <w:tcW w:type="dxa" w:w="193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输出特征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第 11 次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24.546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3.731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19.959</w:t>
            </w:r>
          </w:p>
        </w:tc>
        <w:tc>
          <w:tcPr>
            <w:tcW w:type="dxa" w:w="15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0.856</w:t>
            </w:r>
          </w:p>
        </w:tc>
        <w:tc>
          <w:tcPr>
            <w:tcW w:type="dxa" w:w="193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4491 reasoning Token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第 14 次</w:t>
            </w:r>
          </w:p>
        </w:tc>
        <w:tc>
          <w:tcPr>
            <w:tcW w:type="dxa" w:w="144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16.514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3.886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3.689</w:t>
            </w:r>
          </w:p>
        </w:tc>
        <w:tc>
          <w:tcPr>
            <w:tcW w:type="dxa" w:w="151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8.939</w:t>
            </w:r>
          </w:p>
        </w:tc>
        <w:tc>
          <w:tcPr>
            <w:tcW w:type="dxa" w:w="193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2687 其他输出 Token；两次 write_text_file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使用 v5 同局后续代理审计的逐请求事件窗口。15 次含初始化、读取、审计及收尾，不等同 15 次机器人动作。S4 streaming-phases、S6 逐轮工具表；统计〔E3〕。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这两次请求合计 41.060 秒，占全局请求时间 43.87%。第 11 次主要花在长思考，第 14 次主要花在收尾记录输出；对两者采取同一种“模型加速”策略会错过便宜而直接的改法。前者适合比较思考预算、候选动作是否过多及是否存在反复自检；后者应缩短记录 Schema、去掉重复描述，并在动作完成后异步写入非决策信息。〔E3〕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v5 全局可见 thinking 为 47.144 秒，正文/工具窗口为 19.192 秒。其 TTFT 可分为代理前处理 9.930 秒、请求至响应头 10.415 秒、响应头至首输出 6.907 秒，独立舍入使三项与 TTFT 总量相差 4 毫秒。前处理包括图像处理及文件接口操作；响应头前等待包含发送、链路与服务端接收/排队。现有时间轴能清楚展示可操作的客户端阶段，后续服务端 trace 再把其中的排队与计算分开。〔E1 定义；E3 复算〕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为了安排实验优先级，可以先对具体长尾做预算测算：仅将第 11 次的 thinking 窗口减半，假定输出动作和后续路径保持原样，可节省 9.980 秒，相当于该局请求总量的 10.66%、回合时间的 5.47%。这比将所有轮次统一乘一个加速比更贴近当前负载。第 14 次则先检验缩短记录是否减少 8.939 秒的正文/工具窗口，并确认记录并不参与后续决策，再决定移出关键路径。〔E3；条件计算与实验设计〕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另一单局 ds_t2_par 同为 15 请求，但回合为 205.3 秒、请求累计 110.534 秒，TTFT 21.739 秒，首输出后 88.795 秒，占 80.33%。相同的请求数量没有带来相同请求成本，说明输出内容和各轮长度仍然重要。两个单局共同指向“把长思考与长工具输出分别治理”；它们保留各自身份，作为两种具体工作负载，不构成某项改动的前后收益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接下来的输入实验则要回答另一个问题：v5 为什么可以在保留更多历史图像的同时让请求体变小，字节、上下文 Token 和缓存分别发生了什么变化？</w:t>
      </w:r>
    </w:p>
    <w:p>
      <w:pPr>
        <w:pStyle w:val="Heading2"/>
        <w:pageBreakBefore w:val="0"/>
      </w:pPr>
      <w:r>
        <w:t>5.4  分别检查传输字节 上下文和缓存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v5 对同一请求进行图像文件化与引用替换，平均传输载荷由 3136.1 KB 缩至 185.7 KB，末轮由 10118 KB 缩至 280 KB；但上下文仍从 13094 增长到 84686 Token。缩小序列化字节并不等于模型处理的信息历史同步缩短。网络载荷、模型上下文和缓存分别描述传输量、历史增长与重复输入复用。图 06 展示了各轮上下文、缓存和首输出等待的变化。〔E3；S6〕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37376" cy="2523451"/>
            <wp:docPr id="6" name="Picture 6" descr="v5 各轮输入与缓存 Token 及有效 TTFT 缓存是输入子集〔S4 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context_cach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2523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图 06  v5 各轮输入与缓存 Token 及有效 TTFT 缓存是输入子集〔S4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800"/>
        <w:gridCol w:w="1728"/>
        <w:gridCol w:w="1728"/>
        <w:gridCol w:w="3298"/>
      </w:tblGrid>
      <w:tr>
        <w:trPr>
          <w:cantSplit/>
          <w:tblHeader/>
        </w:trPr>
        <w:tc>
          <w:tcPr>
            <w:tcW w:type="dxa" w:w="158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单局身份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请求数／回合 s</w:t>
            </w:r>
          </w:p>
        </w:tc>
        <w:tc>
          <w:tcPr>
            <w:tcW w:type="dxa" w:w="172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累计请求 s</w:t>
            </w:r>
          </w:p>
        </w:tc>
        <w:tc>
          <w:tcPr>
            <w:tcW w:type="dxa" w:w="172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累计 TTFT s</w:t>
            </w:r>
          </w:p>
        </w:tc>
        <w:tc>
          <w:tcPr>
            <w:tcW w:type="dxa" w:w="3298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输入与缓存／输出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v5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15／182.5</w:t>
            </w:r>
          </w:p>
        </w:tc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93.592</w:t>
            </w:r>
          </w:p>
        </w:tc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27.256</w:t>
            </w:r>
          </w:p>
        </w:tc>
        <w:tc>
          <w:tcPr>
            <w:tcW w:type="dxa" w:w="329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input 780723；cached 720256；output 17432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Files API 独立局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11／153.1</w:t>
            </w:r>
          </w:p>
        </w:tc>
        <w:tc>
          <w:tcPr>
            <w:tcW w:type="dxa" w:w="172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100.5</w:t>
            </w:r>
          </w:p>
        </w:tc>
        <w:tc>
          <w:tcPr>
            <w:tcW w:type="dxa" w:w="172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57.762</w:t>
            </w:r>
          </w:p>
        </w:tc>
        <w:tc>
          <w:tcPr>
            <w:tcW w:type="dxa" w:w="3298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input 500355；output 10722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v5 使用后续映射成功的阶段表；Files API 独立 11 请求局按其原报告逐轮表复算。Files API 的 thinking/decode 为 Token×速度估算。两个单局分别保留，不作为版本前后差额。S4、S6；统计〔E3〕。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v5 加权缓存率为 720256÷780723=92.25%，表示累计输入中有很大部分被复用；历史报告的 88.5%是逐轮缓存比例的非加权平均，两者权重不同。高命中率和很长的上下文可以同时存在，服务仍需处理新增图像/文本、输出与调度。因此缓存命中率是解释变量，最终验收仍是完整决策延迟和完成任务所需成本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该局累计未缓存输入仍有 60467 Token。对输入优化，更有意义的比较是保持状态信息完整时，每轮新增和未缓存部分能否减少；对缓存优化，则关注稳定前缀是否被动态字段或图像裁剪破坏。图像传输去重、历史摘要和稳定前缀是三项不同改动，应逐项测量，避免一个高缓存百分比掩盖仍在增长的总输入量。〔E3；实验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Files API 独立局的请求均值为 9.136 秒、p50 为 6.8 秒；TTFT 均值 5.251 秒、p50 为 3.649 秒。原表 thinking 与 decode 估算分别累计 23.5 和 19.3 秒，概览使用的 3 ms/token 与逐轮约 4 ms/token 假设另行标注。其首输出比 v5 更长，说明“用了 Files API”本身不足以决定 TTFT：输入规模、缓存状态、服务时段和输出轨迹共同变化。下一次应在同一请求体上只切换传输方式，再比较完整链路。〔E3〕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具体做法是固定任务状态、图像内容、提示、工具与输出 Schema，交替发送内嵌图像和文件引用两组；记录首次上传、重复引用命中、请求 bytes、未缓存 Token、有效 TTFT 与最终动作参数。历史压缩单独开一组，检查是否保留了抓持状态、失败尝试和子目标进度。这样能分别回答“传输少了多少”和“模型是否仍得到完成决策所需信息”。已有的同请求体重放与上传阶梯为这类控制变量实验提供了起点。〔E3；实验设计〕</w:t>
      </w:r>
    </w:p>
    <w:p>
      <w:pPr>
        <w:pStyle w:val="Heading2"/>
        <w:pageBreakBefore w:val="0"/>
      </w:pPr>
      <w:r>
        <w:t>5.5  固定请求重放与载荷阶梯测到了什么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保存的安全重放指标覆盖 9 份实际请求体、42 次发送，其中 33 次流式、9 次非流式，均无记录错误。相同请求体的重复发送比跨机器人轨迹比较更接近控制变量，但缓存状态仍随请求改变。下面选四个流式组展示输入量级与等待分布，完整 9 组留在附件。〔E3；S7 stream-probe〕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37376" cy="2138925"/>
            <wp:docPr id="7" name="Picture 7" descr="9 个请求体的 33 次流式重放 每点为一次 TTFT 其余 9 次为非流式〔S7 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body_repl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213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图 07  9 个请求体的 33 次流式重放 每点为一次 TTFT 其余 9 次为非流式〔S7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232"/>
        <w:gridCol w:w="2002"/>
        <w:gridCol w:w="1800"/>
        <w:gridCol w:w="1800"/>
      </w:tblGrid>
      <w:tr>
        <w:trPr>
          <w:cantSplit/>
          <w:tblHeader/>
        </w:trPr>
        <w:tc>
          <w:tcPr>
            <w:tcW w:type="dxa" w:w="2304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请求体组</w:t>
            </w:r>
          </w:p>
        </w:tc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输入 Token</w:t>
            </w:r>
          </w:p>
        </w:tc>
        <w:tc>
          <w:tcPr>
            <w:tcW w:type="dxa" w:w="200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流式次数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TTFT p50 s</w:t>
            </w:r>
          </w:p>
        </w:tc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TTFT 范围 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t0/s0 medium 小体</w:t>
            </w:r>
          </w:p>
        </w:tc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13372</w:t>
            </w:r>
          </w:p>
        </w:tc>
        <w:tc>
          <w:tcPr>
            <w:tcW w:type="dxa" w:w="20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2.176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2.052–2.671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t0/s0 medium 大体</w:t>
            </w:r>
          </w:p>
        </w:tc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64652</w:t>
            </w:r>
          </w:p>
        </w:tc>
        <w:tc>
          <w:tcPr>
            <w:tcW w:type="dxa" w:w="200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11.974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9.070–17.138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t0/s1 medium 大体</w:t>
            </w:r>
          </w:p>
        </w:tc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81748</w:t>
            </w:r>
          </w:p>
        </w:tc>
        <w:tc>
          <w:tcPr>
            <w:tcW w:type="dxa" w:w="20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14.511</w:t>
            </w:r>
          </w:p>
        </w:tc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10.861–14.971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t9/s0 medium 大体</w:t>
            </w:r>
          </w:p>
        </w:tc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229734</w:t>
            </w:r>
          </w:p>
        </w:tc>
        <w:tc>
          <w:tcPr>
            <w:tcW w:type="dxa" w:w="200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21.490</w:t>
            </w:r>
          </w:p>
        </w:tc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17.648–23.447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每组固定请求体哈希；组间内容和 Token 长度不同。同组缓存 Token 可变，例如 64652 输入组记录到 0、128、64512。分位数仅描述该组少量重复。S7；统计〔E3〕。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这些结果说明两个层次：较大的实际输入伴随更高首输出等待；同一 64652 Token 请求体仍可在 9.070–17.138 秒之间波动，固定输入后服务与缓存条件的影响依然显著。因此下一轮 A/B 需要按冷/暖缓存分层并交替发送，记录服务时间窗；只把首次冷请求与随后热请求作前后比较，会把缓存预热记到代码优化上。〔E3〕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载荷阶梯进一步把字节成本单独暴露出来。约 0.05、0.5、1.5、4.3 MiB 的请求，最短响应分别为 1.386、2.369、2.445、3.855 秒；最大体相对最小体多 2.470 秒，对应差分约 1.804 MB/s。测量采用返回 404 的网关路径，数字描述链路与接收处理，不包含正常模型推理。它的价值是证明大载荷本身有可观时间成本，从而支持减少重复图片传输，并为真实请求增加独立的发送/接收观测。〔E3；S7 upload-ladder〕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历史输入阶梯中，流式中位拟合斜率为 0.064722 ms/token，非流式为 0.019076 ms/token；若改用各点最小值拟合，两者为 0.065615 和 0.066079 ms/token，更为接近。输出阶梯中位拟合斜率为 1.391546 ms/token。换汇总方式就会改变系数，是服务波动影响回归的直接信号；这些参数适合该网关的经验预算，精确 prefill/decode 归因应由服务端排队时间、batch、KV 命中与 kernel trace 支撑。〔E3；S7 calibration〕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另一个双请求体的 stream/plain 验证共 16 次，结束原因均为 tool_calls，但输出长度及工具调用数会变化。传输形式的切换还应验收工具参数和执行结果的一致性，不能只看接口是否返回成功。由此，下轮实验的控制对象应从“模型名和任务名相同”推进到“输入内容、缓存状态、输出协议与验收结果均可对齐”。〔E3；S7 cliff-ab〕</w:t>
      </w:r>
    </w:p>
    <w:p>
      <w:pPr>
        <w:pStyle w:val="Heading1"/>
        <w:pageBreakBefore w:val="0"/>
      </w:pPr>
      <w:r>
        <w:t>6  下一轮改进 对应已有结果设计实验</w:t>
      </w:r>
    </w:p>
    <w:p>
      <w:pPr>
        <w:pStyle w:val="Heading2"/>
        <w:pageBreakBefore w:val="0"/>
      </w:pPr>
      <w:r>
        <w:t>6.1  把训练重点放到抓持确认和失败后的修正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前两章的计时把改进方向收窄了：调用数的差异需要由状态判断和 Harness 解释，首输出等待需要从输入与服务链路处理，连续执行还要求动作块按时返回。下面按模型训练、系统机制和运行调度分别设计实验，再讨论联合架构。〔E3〕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前面的实验把训练目标具体化了。早期抓放的60次任务中，有48次停在稳定抓取之前；Astra的恢复案例则显示，观察到方块没有随手抬升后，重新调整抓取位置能让任务继续。下一批数据应重点覆盖接近、闭合、试举这几个连续状态，以及抓空之后的重新定位。把整条成功轨迹平均切成片段，会让大量平稳移动淹没这些真正决定结果的时刻。〔L02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我们建议先训练状态判断，再训练动作选择。第一步让模型辨认目标对象、可放置区域、是否抓住、是否放稳和当前任务阶段；第二步提供几个可执行候选，让模型选择继续、重观测、重新接近或切换技能。这样，位置估计偏差与决策选择错误可以分别检查，后续的JEV对照也能沿用同一套候选。〔E3，实验设计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92"/>
        <w:gridCol w:w="3946"/>
      </w:tblGrid>
      <w:tr>
        <w:trPr>
          <w:cantSplit/>
          <w:tblHeader/>
        </w:trPr>
        <w:tc>
          <w:tcPr>
            <w:tcW w:type="dxa" w:w="180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已有实验中的现象</w:t>
            </w:r>
          </w:p>
        </w:tc>
        <w:tc>
          <w:tcPr>
            <w:tcW w:type="dxa" w:w="439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应补的样本和标签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训练后的检查项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抓空后继续抬升或搬运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闭合前后及试举图像；是否随手移动的标签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假抓持率与抓空后的恢复成功率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底层抽屉任务打开了中层</w:t>
            </w:r>
          </w:p>
        </w:tc>
        <w:tc>
          <w:tcPr>
            <w:tcW w:type="dxa" w:w="439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目标部件、相邻部件、动作后关节状态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目标部件识别与阶段完成判断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反复调用pick但没有推进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重复动作前后的观测；候选恢复及执行结果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无进展重复次数与每次恢复耗时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Astra修正位置后重新抓取</w:t>
            </w:r>
          </w:p>
        </w:tc>
        <w:tc>
          <w:tcPr>
            <w:tcW w:type="dxa" w:w="439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教师选择、实际动作、下一观测与任务结果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同状态下的选择正确率与闭环成功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表中现象来自L02、L03、L06；训练与评价设计为E3。仿真状态用于离线标签和独立评分，在线策略保持既定观测接口。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蒸馏时保留教师选了什么以及执行后发生了什么。教师解释可作为辅助信息，主监督由实际后果确认。随后让学生自己运行，收集它容易偏离的状态，再补充教师纠正或短分支试验结果。这样增加的是学生真正会遇到的难例。DAgger的状态补标思路与此一致；RoboSpatial、SpatialVLM提供空间关系监督的参考，具身后训练工作则可用于设计定位和纠正任务。〔W05–W10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SFT和蒸馏之后，再用任务回报优化“何时继续、何时恢复、何时结束”。第一轮固定执行器与Harness，分别比较基座、状态SFT、加入决策蒸馏和加入RL。既看终局成功，也看假完成、错误抓持判断和恢复耗时。若状态误判减少，下一步再比较固定复查与事件触发，确认减少观察后是否仍能及时发现抓空和滑落；若恢复成功率没有提高，则继续分析恢复候选和执行结果，补充相应难例。〔E3，实验设计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60"/>
        <w:gridCol w:w="3946"/>
      </w:tblGrid>
      <w:tr>
        <w:trPr>
          <w:cantSplit/>
          <w:tblHeader/>
        </w:trPr>
        <w:tc>
          <w:tcPr>
            <w:tcW w:type="dxa" w:w="223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顺序</w:t>
            </w:r>
          </w:p>
        </w:tc>
        <w:tc>
          <w:tcPr>
            <w:tcW w:type="dxa" w:w="396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新增内容</w:t>
            </w:r>
          </w:p>
        </w:tc>
        <w:tc>
          <w:tcPr>
            <w:tcW w:type="dxa" w:w="394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要证明的增量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 → B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原基座 → 空间与状态 SFT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定位、抓持判断是否更准确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B → C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加入验证与恢复蒸馏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错误出现后是否更容易完成任务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C → D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加入学生访问状态的补标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能否纠正自己造成的偏离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D → E</w:t>
            </w:r>
          </w:p>
        </w:tc>
        <w:tc>
          <w:tcPr>
            <w:tcW w:type="dxa" w:w="396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加入高层 RL</w:t>
            </w:r>
          </w:p>
        </w:tc>
        <w:tc>
          <w:tcPr>
            <w:tcW w:type="dxa" w:w="394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恢复策略能否迁移到未见初态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E → F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成功率约束下压缩输出与调用</w:t>
            </w:r>
          </w:p>
        </w:tc>
        <w:tc>
          <w:tcPr>
            <w:tcW w:type="dxa" w:w="394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质量保持时，回合耗时是否降低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待实施训练消融〔E3〕。固定评测栈，按场景和轨迹划分数据；同时保留成功数、假抓持/假完成率、恢复成功率、调用数、输出 Token、请求及回合 p50/p95。</w:t>
      </w:r>
    </w:p>
    <w:p>
      <w:pPr>
        <w:pStyle w:val="Heading2"/>
        <w:pageBreakBefore w:val="0"/>
      </w:pPr>
      <w:r>
        <w:t>6.2  先确定哪些调用可以交给本地执行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Harness 的实验顺序沿用第三章：先校准阶段检查，再依次加入局部恢复、复合技能和事件触发。每一步同时比较新增成功、减少的高层调用和新增的本地计算。待这些机制稳定后，再固定状态与候选，更换规则、Astra 和 JEV 选择器；经验复用另设对照，避免同时改动执行机制和记忆内容。〔L09、L11、L12，E3〕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每项改动都保留一张实验结果表：同一任务与 seed 下，列出终局结果、阶段误报和漏报、逻辑请求数、工具与 π 块数、恢复时间及完整回合时间。若调用减少但失败增加，先检查漏掉了哪次必要观察；若质量保持而本地成本上升，则计算新增检查是否抵消了云端节省。这张表直接用于决定下一版本保留哪些机制。〔E3，实验设计〕</w:t>
      </w:r>
    </w:p>
    <w:p>
      <w:pPr>
        <w:pStyle w:val="Heading2"/>
        <w:pageBreakBefore w:val="0"/>
      </w:pPr>
      <w:r>
        <w:t>6.3  用动作覆盖时间选择协作频率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RPent的累计时间说明渲染影响仿真吞吐，π的单块延迟则影响下一段动作能否及时接上。两项指标需要分别优化。用于批量评测时，可先降低不必要的渲染、减少图像读回；面向连续控制时，要把完整动作块交付时间与当前缓冲剩余时间比较。〔L06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用20Hz作为目标墙钟控制频率，每一步是50ms。执行5步动作只提供250ms覆盖时间，而固定观测π校准的中位延迟是361.047ms。即使暂不计额外调度，5步方案仍相差111.047ms，需约1.44倍速度或提前开始下一次推理。增加动作块长度也能扩展时间预算，代价是更久以后才利用新观测修正动作。〔L03、L06，E3，条件预算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750"/>
        <w:gridCol w:w="2750"/>
        <w:gridCol w:w="2621"/>
      </w:tblGrid>
      <w:tr>
        <w:trPr>
          <w:cantSplit/>
          <w:tblHeader/>
        </w:trPr>
        <w:tc>
          <w:tcPr>
            <w:tcW w:type="dxa" w:w="201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每次执行步数K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20Hz下覆盖时间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动作块消耗速率</w:t>
            </w:r>
          </w:p>
        </w:tc>
        <w:tc>
          <w:tcPr>
            <w:tcW w:type="dxa" w:w="2621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减去361.047ms的中位预算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100ms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10块/s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−261.047ms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250ms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4块/s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−111.047ms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8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400ms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2.5块/s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38.953ms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10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500ms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2块/s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138.953ms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预算按目标墙钟20Hz计算；已有20Hz是仿真控制协议，实际每墙钟秒推进步数另测。361.047ms为固定观测微测中位数，各配置3次。K取值限模型预测长度。〔E2/E3〕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上表用于挑选实验范围。正式调度用完整返回的p95延迟，再留出传输与调度余量；剩余动作必须覆盖这段时间。还要记录观测年龄，即动作提交时距离生成该观测过了多久。同样400ms，在平稳搬运和接触对齐阶段可能带来不同结果，所以动作块长度需要分阶段测试。〔E3，实验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第一轮固定VLA权重，扫描K=2、5、8、10，并比较同步与提前推理两种执行方式。每种配置记录成功、停顿、动作衔接、p95/p99完整返回延迟和观测年龄。在相同调用预算下，再比较高层固定降频与事件触发。0.2、0.5、1Hz可用于本地或延迟注入对照，云端候选频率先按实际完整决策延迟筛选。最终采用能维持任务质量且停顿较少的组合。〔L13、W13–W15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异步执行能覆盖的等待，取决于当前技能有多长一段可以独立完成。服务端尚未返回时，机器人执行已确认的动作；回复到达后先检查任务阶段和对象状态，过期结果退出队列。RTC的动作前缀约束可用于衔接低层动作块，高层则需要保留阶段版本。这样测到的收益才对应少了多少实际停顿。〔W13、L13，E3〕</w:t>
      </w:r>
    </w:p>
    <w:p>
      <w:pPr>
        <w:pStyle w:val="Heading2"/>
        <w:pageBreakBefore w:val="0"/>
      </w:pPr>
      <w:r>
        <w:t>6.4  分别优化思考预算和请求链路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导师最新实验报告thinking由4.6秒降到1.4秒，阶段减少3.2秒，降幅69.6%。这条结果提供了值得复测的配置。结合我们已有DeepSeek实验，下一轮需要同时记录思考窗口、完整决策时间和动作结果；当请求数上升时，节省的单次时间可能被新的调用抵消。〔导师反馈E4；L07对照分析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复测分两步。先冻结输入图像、system、tools、输出Schema及缓存条件，用交错时间顺序运行low和medium，比较完整返回、TTFT、可见thinking、输出长度和正确工具调用。再将相同配置放回固定初态，记录请求数、重复动作和终局成功。单次与整集结果各有一张表，就能判断收益来自计算预算，还是同时改变了执行路线。〔E3，实验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导师反馈的 4.6→1.4 秒描述思考阶段；已有独立校准中，medium/low 完整请求中位数为 8.949/7.463 秒，属于另一组请求。若思考原占完整请求比例 f，其他阶段与调用数保持不变，69.6% 的思考降幅对应完整请求约 69.6%×f 的降幅；例如 f=30% 时为 20.9%。实际验收仍以配对请求和闭环回合为准。〔S7，E3；条件计算 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750"/>
        <w:gridCol w:w="2750"/>
        <w:gridCol w:w="2621"/>
      </w:tblGrid>
      <w:tr>
        <w:trPr>
          <w:cantSplit/>
          <w:tblHeader/>
        </w:trPr>
        <w:tc>
          <w:tcPr>
            <w:tcW w:type="dxa" w:w="201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已有数据指出的耗时位置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首个改动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保持固定的条件</w:t>
            </w:r>
          </w:p>
        </w:tc>
        <w:tc>
          <w:tcPr>
            <w:tcW w:type="dxa" w:w="2621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验证的数据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共同成功四集TTFT占请求时间70.82%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前处理、载荷、缓存或服务排队逐项测试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同请求内容、同输出方式与缓存分组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准备、上传、排队、服务端输入计算、完整返回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v5思考47.144秒及第11次思考长尾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调整思考档位和输出要求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同一请求内容、交错运行顺序与固定工具 Schema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思考窗口、Token、选择正确率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v5第14次正文工具输出8.939秒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精简记录和结构化输出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同一工具语义与字段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输出Token、TPOT、完整结果可用时刻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π单块中位361.047ms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分prefix与denoise定位本地热点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固定图像、状态、动作长度和精度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设备trace、完整块延迟、动作一致性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历史数据为E3复算，改动与固定条件为E3设计。各行分别立项比较，再把有效改动放回机器人任务。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对可本地部署的 VLM，使用固定请求和设备 trace 拆分视觉编码、prefill、decode、KV 读写及同步等待；π 则继续拆分 prefix 与 denoise。云端 API 按客户端已采到的阶段继续分析，服务端排队与输入计算在获得相应遥测后单列。每次优化处理一个已确认的热点，同时检查输出质量和完整返回时间。〔L06、L13，E3〕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优先级也随目标变化。批量仿真先处理40.05%的渲染工作量和重复恢复；低延迟控制先满足动作块截止时间；云端VLM请求再按首输出前等待与输出阶段分组优化。这三组工作共享数据记录，但各自有清楚的主指标。〔L05–L07，E3〕</w:t>
      </w:r>
    </w:p>
    <w:p>
      <w:pPr>
        <w:pStyle w:val="Heading2"/>
        <w:pageBreakBefore w:val="0"/>
      </w:pPr>
      <w:r>
        <w:t>6.5  按失败类型组合 VLM JEV VLA 和 WAM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现有实验记录了目标混淆、抓持误判、重复选择无进展技能，以及接触和放置失败。前三类问题分别对应状态判断、技能选择与执行检查；抓空和放置偏差还提供了一组可用于检验预测模块的难例。融合架构先围绕这些已记录的问题分工，再逐项测量新增模块的收益与成本。〔L02–L09，E3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750"/>
        <w:gridCol w:w="2750"/>
        <w:gridCol w:w="2621"/>
      </w:tblGrid>
      <w:tr>
        <w:trPr>
          <w:cantSplit/>
          <w:tblHeader/>
        </w:trPr>
        <w:tc>
          <w:tcPr>
            <w:tcW w:type="dxa" w:w="201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模块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对应已有实验中的问题</w:t>
            </w:r>
          </w:p>
        </w:tc>
        <w:tc>
          <w:tcPr>
            <w:tcW w:type="dxa" w:w="2750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在首轮系统中的工作</w:t>
            </w:r>
          </w:p>
        </w:tc>
        <w:tc>
          <w:tcPr>
            <w:tcW w:type="dxa" w:w="2621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单独评价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VLM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目标部件与任务阶段判断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根据观测生成状态、子目标和异常说明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定位、状态与子目标正确率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JEV型选择器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重复选择无进展技能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从共同候选中选择继续、重定位或恢复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候选覆盖、选择正确率、选择延迟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VLA及解析控制器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抓取、接触、移动和释放</w:t>
            </w:r>
          </w:p>
        </w:tc>
        <w:tc>
          <w:tcPr>
            <w:tcW w:type="dxa" w:w="27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按子目标产生并执行连续动作</w:t>
            </w:r>
          </w:p>
        </w:tc>
        <w:tc>
          <w:tcPr>
            <w:tcW w:type="dxa" w:w="262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技能成功、动作块延迟、衔接稳定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WAM与评价模块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候选动作的后果难以判断</w:t>
            </w:r>
          </w:p>
        </w:tc>
        <w:tc>
          <w:tcPr>
            <w:tcW w:type="dxa" w:w="2750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预测动作条件下的状态变化，再评价候选</w:t>
            </w:r>
          </w:p>
        </w:tc>
        <w:tc>
          <w:tcPr>
            <w:tcW w:type="dxa" w:w="2621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预测误差、选对动作的增益、额外耗时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模块安排为E3设计。WAM可联合建模视频与动作；预测与价值评价分别记录，评价由相应头或evaluator接口提供。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首轮由 VLM 确定子目标，规则或 JEV 选择技能，VLA 执行，WAM 在旁路预测所选动作的结果。先比较预测与真实下一状态；再在可重置的同一状态下执行不同候选，检查预测排序是否与实际效果一致。这项对照显示选择质量提高后，再将预测结果用于在线决策，并记录它新增的等待。〔E3，实验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这也解释了low think、JEV和分层VLA的关系。low think调整一次模型调用的思考预算；JEV替换有限候选的选择环节；分层VLA把连续执行交给低层，改变高层需要介入的次数。三者可以组合，但先分别测清正确率、调用数和完整耗时，再决定采用哪些部分。〔L03、L07、L09，E3〕</w:t>
      </w:r>
    </w:p>
    <w:p>
      <w:pPr>
        <w:pStyle w:val="Heading2"/>
        <w:pageBreakBefore w:val="0"/>
      </w:pPr>
      <w:r>
        <w:t>6.6  用Motus工程结果支撑联合后训练实验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模块化实验用于查明各部分的作用，共享表示的联合训练则研究这些能力能否在一个模型内部相互帮助。本周Motus工作已经提供工程起点：完整预训练基座约80.6亿参数，43,502,271个适配参数参与双卡FP32联合更新；连续10步以及从step9恢复重做step10的检查均通过。〔L16，E3转引〕</w:t>
      </w:r>
    </w:p>
    <w:p>
      <w:pPr>
        <w:keepNext/>
        <w:spacing w:after="80"/>
      </w:pPr>
      <w:r>
        <w:rPr>
          <w:rFonts w:ascii="Arial" w:hAnsi="Arial" w:eastAsia="Hiragino Sans GB" w:cs="Arial"/>
          <w:b/>
          <w:bCs/>
          <w:color w:val="000000"/>
          <w:sz w:val="19"/>
        </w:rPr>
        <w:t>表 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62"/>
      </w:tblGrid>
      <w:tr>
        <w:trPr>
          <w:cantSplit/>
          <w:tblHeader/>
        </w:trPr>
        <w:tc>
          <w:tcPr>
            <w:tcW w:type="dxa" w:w="2376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工程项</w:t>
            </w:r>
          </w:p>
        </w:tc>
        <w:tc>
          <w:tcPr>
            <w:tcW w:type="dxa" w:w="7762"/>
            <w:vAlign w:val="center"/>
            <w:shd w:fill="343A40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/>
                <w:bCs/>
                <w:color w:val="FFFFFF"/>
                <w:sz w:val="19"/>
              </w:rPr>
              <w:t>已完成结果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参与更新的部分</w:t>
            </w:r>
          </w:p>
        </w:tc>
        <w:tc>
          <w:tcPr>
            <w:tcW w:type="dxa" w:w="7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VLM语言LoRA、WAN LoRA、Action与Understanding适配器、新IO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数据与模型路径</w:t>
            </w:r>
          </w:p>
        </w:tc>
        <w:tc>
          <w:tcPr>
            <w:tcW w:type="dxa" w:w="776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完整预训练权重加载；真实冻结VAE/T5输入；两路图像进入VLM forward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更新与恢复</w:t>
            </w:r>
          </w:p>
        </w:tc>
        <w:tc>
          <w:tcPr>
            <w:tcW w:type="dxa" w:w="7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center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双卡FP32连续10步；恢复后训练参数与loss一致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每卡显存峰值</w:t>
            </w:r>
          </w:p>
        </w:tc>
        <w:tc>
          <w:tcPr>
            <w:tcW w:type="dxa" w:w="7762"/>
            <w:vAlign w:val="center"/>
            <w:shd w:fill="F3F4F5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allocated约57.34GiB；reserved约59.47GiB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运行环境</w:t>
            </w:r>
          </w:p>
        </w:tc>
        <w:tc>
          <w:tcPr>
            <w:tcW w:type="dxa" w:w="7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after="0" w:before="0" w:line="259" w:lineRule="auto"/>
              <w:jc w:val="left"/>
            </w:pPr>
            <w:r>
              <w:rPr>
                <w:rFonts w:ascii="Arial" w:hAnsi="Arial" w:eastAsia="Hiragino Sans GB" w:cs="Arial"/>
                <w:b w:val="0"/>
                <w:bCs w:val="0"/>
                <w:color w:val="000000"/>
                <w:sz w:val="19"/>
              </w:rPr>
              <w:t>CANN8.5.2；torch_npu2.7.1.post2</w:t>
            </w:r>
          </w:p>
        </w:tc>
      </w:tr>
    </w:tbl>
    <w:p>
      <w:pPr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来源L16，2026年10月16日工程记录〔E3〕。输入切分、BF16数值与正式任务评估按后续记录推进。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在这个工程版本上，先完成数据时间对齐、初态隔离和监督暖启动，再进入任务RL。对照保留四个版本：A全部冻结并使用相同随机采样器；B更新动作与理解连接；C加入VLM内部LoRA；D再加入WAN LoRA。各版本沿用相同起点、环境交互预算和评测初态。这样B到C回答任务反馈进入VLM是否有帮助，C到D回答更新预测部分是否进一步改善控制。〔L14，E3设计〕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训练时同时检查任务结果和预测质量。控制侧记录完成、恢复、动作数量与延迟；预测侧在固定动作条件下评价未来状态，避免各模型自己选择不同动作后难以比较。梯度记录用于确认任务回报实际更新了哪些模块，冻结和detach对照帮助定位贡献。连续动作生成的概率处理沿用预注册方案，工程实现与任务效果分别保留结果表。〔L14、W16、W17、W19，E3〕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下一轮交付应与前面每项发现对应：抓持和阶段错误对应状态训练结果，逐块审核对应触发与复合技能对照，重复恢复对应恢复成功和成本，361ms动作块对应连续执行的停顿统计，DeepSeek请求长尾对应固定请求优化。融合训练的价值，也用这些已经有基线的数据来检验。〔E3，实验设计〕</w:t>
      </w:r>
    </w:p>
    <w:p>
      <w:pPr>
        <w:pStyle w:val="Heading1"/>
        <w:pageBreakBefore/>
      </w:pPr>
      <w:r>
        <w:t>附录 A  PPT 内容拆分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</w:rPr>
        <w:t>以下按报告顺序组织为18个证据单元，每个单元给出1–3张可选内容。正文页承担实验比较和结论，备份页保留逐集、逐请求或测量细节；制作时可根据汇报时长合并或展开，总页数由内容取舍确定。表注沿用报告中的批次、样本范围、计时定义、来源编号与证据等级。</w:t>
      </w:r>
    </w:p>
    <w:p>
      <w:pPr>
        <w:pStyle w:val="Heading2"/>
        <w:pageBreakBefore w:val="0"/>
      </w:pPr>
      <w:r>
        <w:t>A01  测评基准与近期进展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1.1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用一张任务分类表并列RoboDojo与LIBERO：RoboDojo的42个仿真任务按12/6/8/8/8分成五类，另列18个实机任务；LIBERO列Spatial、Object、Goal和长任务的代表问题，并标出本地bowl、GPT-as-Policy、RPent所处位置。保留抓取、窄孔插入和多阶段操作三个示例画面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讲解重点：先说明不同实验分别在测定位、状态判断、接触执行还是长任务，再阅读后面的成功数。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正文。用按加入日期排列的表展示官网快照：Astra 28.97/22.48%、PhysicalRSI 36.27/31.38%、VPP2 39.26/32.26%、EmbodiedEvo 45.08/38.95%，两列分别为Score/SR。旁边简注策略模型与Agent系统的提交类型，页脚写2026-10-16访问日期。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讲解重点：近期进展既来自模型，也来自记忆、代码和反馈的组织方式；本报告接下来分别检查这两部分。</w:t>
      </w:r>
    </w:p>
    <w:p>
      <w:pPr>
        <w:pStyle w:val="Heading2"/>
        <w:pageBreakBefore w:val="0"/>
      </w:pPr>
      <w:r>
        <w:t>A02  bowl同初态比较与Astra恢复过程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2.1、2.2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正文。以9月23日同seed表为主体：Astra、Sol medium、Sol ultra、Luna分别5/5、2/5、3/5、0/5；同步放平均决策数16.0/18.2/17.6/19.6及墙钟336.11/547.09/600.63/1969.76s。右侧小图补9月16日三家基线48/60停在阶段0–1，表注保留自动入碗与录像审核定义。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讲解重点：Astra的优势既表现为完成更多任务，也表现为较少的决策和等待；增加Sol思考预算改变了轨迹，并未在每个初态都改善结果。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正文。画trial-03的五步观测序列：实测未到位→抓空试举→看到物体留在桌面→抓取高度由0.825降到0.805m→确认随手移动后搬运；保留13次决策、447步。并排放DeepSeek误判持物与Qwen成功验证随动的简短案例。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讲解重点：差距来自如何使用动作后的新证据：确认实际状态，识别抓空，再选择修正动作。</w:t>
      </w:r>
    </w:p>
    <w:p>
      <w:pPr>
        <w:pStyle w:val="Heading2"/>
        <w:pageBreakBefore w:val="0"/>
      </w:pPr>
      <w:r>
        <w:t>A03  从轨迹确定模型诊断对象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2.3、2.4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正文。用四行表对应定位、状态核验、时序适配、恢复选择，分别列配对输入改动与读数。右下角用RPent总成功50/60与49/60作转场，注明模型在RPent改为选择技能。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讲解重点：先用诊断实验找出误差来源，再训练定位、抓持确认或恢复；进入技能系统后，模型承担的工作会改变。</w:t>
      </w:r>
    </w:p>
    <w:p>
      <w:pPr>
        <w:pStyle w:val="Heading2"/>
        <w:pageBreakBefore w:val="0"/>
      </w:pPr>
      <w:r>
        <w:t>A04  18格实验 三种控制分工怎样失败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3.1、3.2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正文。上半页画Student、Direct、Hybrid三条同尺度流程；下半页放六条件×三路线的原生成功与步数矩阵。汇总写4/6、1/6、3/6，重点框出Pos六格原生均失败、Goal Ori Hybrid零步失败。展示裁定与原生判据的差异放表注。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讲解重点：相同初态下，动作由谁生成、审核怎样使用工具，会直接改变失败类型。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备份。并列两个轨迹：Hybrid把stop当观察接口，原跑与复跑均零步结束；Direct在换目标任务第461步才发现包装混淆，余59步。保留同条件Student 284步成功、Hybrid 416步成功且84轮全放行，以及Goal Pos中心距36.75mm和30mm阈值。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讲解重点：接口终止语义、对象绑定和放置判据要分别检查，才能选择对应的修复。</w:t>
      </w:r>
    </w:p>
    <w:p>
      <w:pPr>
        <w:pStyle w:val="Heading2"/>
        <w:pageBreakBefore w:val="0"/>
      </w:pPr>
      <w:r>
        <w:t>A05  九回合 审核增加多少等待 改变了哪些动作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3.3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正文。以三任务×三路线的结果／控制步／轮数表为主体，旁边画双罐单轮耗时：Student 4.203s、Direct 14.413s、Hybrid 18.818s，分别标出后两者10.819s和14.374s的GPT往返。注明双罐与微波炉Hybrid各51轮全部放行。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讲解重点：这两条成功轨迹中，逐块审核主要增加串行等待，下一步先测试紧凑放行响应。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正文。左侧保留Hybrid平均331.8个可见Token、9.62s输出窗口，画完整审核JSON与最小放行字段。右侧放抽屉47次放行、13次接管及中层−0.159787m、底层0的结果；以目标部件前后图说明如何评价接管效果。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讲解重点：压缩输出解决固定响应成本，目标与进展核验解决接管是否有效，两项分开对照。</w:t>
      </w:r>
    </w:p>
    <w:p>
      <w:pPr>
        <w:pStyle w:val="Heading2"/>
        <w:pageBreakBefore w:val="0"/>
      </w:pPr>
      <w:r>
        <w:t>A06  RPent普通 Flash与失败重试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3.4、3.5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一张配置与结果表并列普通API和Flash：GLM/SAM3与固定计划/Molmo2，动作端均保留π与解析工具；首跑18/20对15/20。时间列分别注明API全20集890.20s、成功18集619.22s，Flash成功15集228s。右侧将Flash五次失败分为两次计划名称错位、三次执行后未达目标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讲解重点：固定流程省去在线规划，计划绑定和动作后的检查决定它能覆盖哪些场景。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正文。画两组首跑→retry-once成功数：Object Swap 18/20→20/20、goal 16/20→19/20。下方并列早停回测省21.5% Token与截断5个成功集，保留823s失败→4795s成功这一轨迹。将新增16.9M Token／5次成功列为重试成本。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讲解重点：高消耗常常表示任务困难；恢复决策需要结合动作是否推进，而不是只看请求数。</w:t>
      </w:r>
    </w:p>
    <w:p>
      <w:pPr>
        <w:pStyle w:val="Heading2"/>
        <w:pageBreakBefore w:val="0"/>
      </w:pPr>
      <w:r>
        <w:t>A07  长任务反馈怎样改 JEV放在哪个环节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3.6、3.7、3.8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正文。先放Long Swap 11/20与12/20，再用t0的15/15/28/116个π块和对应成功／成功／成功／失败说明局部结果差异。画抓杯→送入→释放撤手→关门四阶段，在每段下列物体随动、空间关系和门运动的观察证据。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讲解重点：工具返回需要告诉高层哪个阶段推进了、哪里需要恢复，复合技能才有可靠的完成与退出条件。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用一张递进对照表列状态验收、局部恢复、复合技能和固定候选选择器；选择器一行明确规则/Astra/JEV使用同状态同候选。侧栏写本地规则9/9、94项测试通过与Jev/MiniCPM路径核查。底部给一条含适用条件、检查点和失败证据的Skills/Lessons示例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讲解重点：先确认状态与候选是否正确，再比较谁选择得更好；JEV接在技能选择位置，π继续负责接触动作。</w:t>
      </w:r>
    </w:p>
    <w:p>
      <w:pPr>
        <w:pStyle w:val="Heading2"/>
        <w:pageBreakBefore w:val="0"/>
      </w:pPr>
      <w:r>
        <w:t>A08  120集效率基线与成功产出成本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4.1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正文。按三个套件画成功数与回合均时两组并列柱，保留Astra 50/60、Sol 49/60。Long Swap重点列19474.4/32601.1s全批工作量与11/12次成功，换算每成功产出1770.40/2716.76s。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讲解重点：成功数接近时，失败尝试和长回合仍会造成明显的实验成本差异。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备份。完整保留六行套件×模型表：成功数、均值、p50、p95、平均计量响应数。框出Spatial Task Sol的均值1248.62s、p50 811.60s、p95 3888.39s；表下注明全120集123408.4s工作量与5014个计量响应。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讲解重点：均值、尾部和调用量共同解释成本，便于追查少数长回合。</w:t>
      </w:r>
    </w:p>
    <w:p>
      <w:pPr>
        <w:pStyle w:val="Heading2"/>
        <w:pageBreakBefore w:val="0"/>
      </w:pPr>
      <w:r>
        <w:t>A09  同任务配对与请求 执行两侧的耗时差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4.2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正文。左侧画Spatial Swap共同成功20对的总耗时11738.4/18873.7s及37.81%差额；右侧把7135.3s差额分为SDK非工具46.56%、手工与VLA原语43.66%、工具其余9.78%。下方列579/865次计量响应、186/286个动作、175/407个π块。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讲解重点：相同任务都完成时，差额同时来自更多请求与更多动作，优化需要覆盖两侧。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正文。并列两项分解：SDK非工具差额3321.863s中，调用数项2315.970s占69.72%，均摊成本项1005.893s占30.28%；Long Swap全20对差额13126.7s，共同成功8对只占536.4s，其余12对占95.91%。小表保留120集五类互斥时间占比。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讲解重点：少调用在当前请求差额中占很大比重；Long Swap进一步要追查失败与分叉路径。</w:t>
      </w:r>
    </w:p>
    <w:p>
      <w:pPr>
        <w:pStyle w:val="Heading2"/>
        <w:pageBreakBefore w:val="0"/>
      </w:pPr>
      <w:r>
        <w:t>A10  八集深测 渲染 π与重复恢复各花了多少时间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4.3、4.4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正文。画八集工作量分解，突出渲染4391.179s/40.05%、物理121.481s/1.11%、π handler 198.653s/1.81%；将prefix 96.186s和denoise 86.142s画在handler内部。侧栏放π减半仅节省整批0.91%的条件预算。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讲解重点：提高当前仿真吞吐先检查视觉观测生成与读回，π内部优化另看实际热点和交付时限。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正文。用t0/seed1两行时间轴并列Astra成功1049.1s与Sol失败2176.5s，标41/77次逻辑采样、15/116个π块。放大Sol第18–34动作：执行累计562.942s，其中渲染447.543s；该段时间轴跨度1197.889s。请求、工具、渲染使用各自泳道。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讲解重点：重复抓取同时增加云端等待、本地动作与渲染；仅缩短一次π推理无法消除整段恢复长尾。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3 张  备份。保留固定观测微测none/stages中位361.047/363.719ms、各3次、0.74%插桩增量和动作字节一致；旁列120集加载20817.6s、独立深测两次OOM尝试3205.2s。表注分别说明稳态、启动与异常尝试的分母。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讲解重点：部署成本包含稳态推理、启动和异常恢复；固定输入微测提供后续本地优化的可对照起点。</w:t>
      </w:r>
    </w:p>
    <w:p>
      <w:pPr>
        <w:pStyle w:val="Heading2"/>
        <w:pageBreakBefore w:val="0"/>
      </w:pPr>
      <w:r>
        <w:t>A11  DeepSeek档位变化如何改变单次与整集成本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5.1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正文。完整保留四条共同成功配对：非流式t0/s0 1000.9→1432.6s、s1 966.8→769.7s；流式s0 1497.8→1043.1s、s1 828.9→805.1s。每行同时放逻辑请求和工具调用变化，重点框出26→46请求、46→102工具的反例。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讲解重点：降低思考预算的效果取决于动作路径；单次均摊下降4.77%，仍可能因调用增多使整集更慢。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备份。把原始非流式8集和流式补测8集分成上下两表，逐行保留task/seed、档位、结果或退出状态、回合时间、逻辑请求/尝试、工具调用。另列流式t0/s1累计请求省94.495s、其余成本增加70.695s、整集仅省23.8s的分解。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讲解重点：请求数相同也可能走不同动作路径，解释收益时要同时保留工具成本和退出状态。</w:t>
      </w:r>
    </w:p>
    <w:p>
      <w:pPr>
        <w:pStyle w:val="Heading2"/>
        <w:pageBreakBefore w:val="0"/>
      </w:pPr>
      <w:r>
        <w:t>A12  有效TTFT TPOT和可见thinking的分段结果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5.2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上方画请求发出、首有效delta、首正文/工具、最后chunk的时间线，标TTFT、可见thinking和输出窗口；下方放两档四项分布：完整请求p50/p95为17.371/40.855与12.272/21.290s，TTFT为11.891/21.359与10.595/16.893s，TPOT为5.667/14.171与4.374/7.105ms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讲解重点：事件打点说明等待发生在哪个窗口，按Token归一的TPOT说明请求内的平均输出速度。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正文。画四集累计请求1954.255s的构成，突出TTFT 1383.998s、占70.82%。旁边按medium/none列可见thinking 376.252/0s，正文工具73.677/107.915s；输出组成再列45618个reasoning和16217/23370个其他Token。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讲解重点：这组任务主要等首输出；关闭思考后，正文与工具输出仍会变化，应同时优化输入等待和响应协议。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3 张  备份。用一张数据身份表说明306条原非流式、178次流式尝试/177个有效TTFT、精确映射代理280行，共458行/23组、457行有效TTFT。另列事件thinking 376.252s与按Token占比估算352.550s；prefill单列服务端trace测点，当前记录栏写未采集。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讲解重点：数据身份、事件窗口和预算估算分别保留，后续服务端测量可直接补到相应阶段。</w:t>
      </w:r>
    </w:p>
    <w:p>
      <w:pPr>
        <w:pStyle w:val="Heading2"/>
        <w:pageBreakBefore w:val="0"/>
      </w:pPr>
      <w:r>
        <w:t>A13  v5十五次请求 两种长尾如何分别处理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5.3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正文。保留全部15根请求堆叠柱，颜色对应TTFT、可见thinking、正文/工具；页首列请求累计93.592s、回合182.5s、请求p50/p95 3.548/18.924s。框出第11次24.546s和第14次16.514s，合计占请求时间43.87%。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讲解重点：v5的主要等待已转到首输出之后，少数长请求决定了优化优先级。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正文。并列第11次和第14次明细：第11次thinking 19.959s/4491 reasoning Token；第14次正文工具8.939s/2687其他Token、两次write_text_file。下方拆v5 TTFT：前处理9.930s、响应头前10.415s、头后首输出6.907s，并列全局thinking 47.144s。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讲解重点：长思考适合比较预算与判断任务，长记录输出适合压缩字段并检查能否移出动作等待。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3 张  备份。保留15行完整请求表：总时长、TTFT、thinking、正文工具及两类Token；旁列ds_t2_par同为15请求但累计110.534s、TTFT 21.739s、首输出后88.795s。另列第11次thinking减半可省9.980s的条件预算。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讲解重点：相同请求数可以具有不同输出负载，优化应落实到具体长尾请求。</w:t>
      </w:r>
    </w:p>
    <w:p>
      <w:pPr>
        <w:pStyle w:val="Heading2"/>
        <w:pageBreakBefore w:val="0"/>
      </w:pPr>
      <w:r>
        <w:t>A14  Files API 历史上下文与缓存分别改变了什么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5.4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正文。画v5三条独立序列：请求字节、上下文Token、缓存占比。标平均载荷3136.1→185.7KB、末轮10118→280KB，上下文13094→84686 Token；汇总写780723输入、720256缓存、60467未缓存，按Token加权缓存率92.25%。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讲解重点：文件引用减少序列化载荷，历史长度和新增输入仍需分别优化。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备份。并列两个独立单局：v5为15请求/182.5s回合/93.592s请求/27.256s TTFT；Files API局为11/153.1/100.5/57.762。Files局补请求p50 6.8s、TTFT p50 3.649s，thinking/decode估算23.5/19.3s，表头写明事件测量与估算。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讲解重点：比较传输方式时，应固定同一请求体并交替发送，记录首次上传与重复引用的不同成本。</w:t>
      </w:r>
    </w:p>
    <w:p>
      <w:pPr>
        <w:pStyle w:val="Heading2"/>
        <w:pageBreakBefore w:val="0"/>
      </w:pPr>
      <w:r>
        <w:t>A15  固定请求重放与载荷阶梯怎样缩小归因范围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5.5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正文。画四个固定请求体组的TTFT范围点图：13372 Token为2.052–2.671s；64652为9.070–17.138s；81748为10.861–14.971s；229734为17.648–23.447s。图上保留各组次数5/5/5/3和p50 2.176/11.974/14.511/21.490s，侧注总计9体42次发送。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讲解重点：较大输入伴随更长等待，同一输入内部也有明显波动；下一组对照需交替发送并按缓存状态分层。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备份。分别展示载荷阶梯与输入/输出阶梯。载荷约0.05/0.5/1.5/4.3MiB对应最短1.386/2.369/2.445/3.855s，明确标404网关测量；输入斜率按中位与最小值各列两组，输出中位斜率1.391546ms/Token；补16次stream/plain的工具参数验收项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讲解重点：字节成本、输入规模和服务波动已有独立观测，服务端排队、batch和kernel trace继续补齐计算归因。</w:t>
      </w:r>
    </w:p>
    <w:p>
      <w:pPr>
        <w:pStyle w:val="Heading2"/>
        <w:pageBreakBefore w:val="0"/>
      </w:pPr>
      <w:r>
        <w:t>A16  把已有失败转成模型与Harness的下一轮对照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6.1、6.2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正文。用四行实验结果→训练样本→验收指标表：抓空搬运、抽屉目标错误、重复pick、Astra重抓恢复。列基座、状态SFT、决策蒸馏、RL四个版本，明确固定执行器；输出成功、假抓持/假完成、恢复成本三组读数。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讲解重点：把训练集中到实际决定失败的状态与修正动作，逐项检查能力增量。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用H0–H4表列当前RPent、已校准状态、局部恢复、带检查点的复合技能、事件触发；每行对应请求、π块、恢复时间、漏检和终局成功。旁列固定状态与候选的规则/Astra/JEV对照，并将经验表示作为独立实验轴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讲解重点：先测状态是否准确，再测恢复和调用粒度，每次新增机制都记录它增加的本地成本。</w:t>
      </w:r>
    </w:p>
    <w:p>
      <w:pPr>
        <w:pStyle w:val="Heading2"/>
        <w:pageBreakBefore w:val="0"/>
      </w:pPr>
      <w:r>
        <w:t>A17  协作频率 low think与单次请求优化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6.3、6.4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正文。保留20Hz目标下K=2/5/8/10的100/250/400/500ms覆盖表，减去361.047ms后预算为−261.047/−111.047/38.953/138.953ms。用缓冲动作与下一块推理的时序图解释提前推理，并单列p95/p99、观测年龄、缓冲耗尽和截止失约。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讲解重点：动作块是否接得上由覆盖时间和完整返回延迟决定，动作越长也越晚使用新观测。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正文。主图列导师最新thinking 4.6→1.4s、减少3.2s/69.6%，标E4转述；旁边单列独立校准medium/low完整请求中位8.949/7.463s。下方画同请求体交错测试→同初态任务两步流程，保留完整延迟、选择正确、调用数和恢复成本。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讲解重点：先测low think缩短了哪段时间，再看任务中是否增加调用或恢复。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3 张  备份。列三组待测配置：K扫描与同步/提前推理；高层事件触发与0.2/0.5/1Hz本地或延迟注入扫描；视觉编码、prefill、decode、KV及π prefix/denoise的固定输入profile。每组列固定条件、延迟测点和输出验收。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讲解重点：先用固定输入定位单次热点，再用阶段和任务测试确定采用的频率与执行方式。</w:t>
      </w:r>
    </w:p>
    <w:p>
      <w:pPr>
        <w:pStyle w:val="Heading2"/>
        <w:pageBreakBefore w:val="0"/>
      </w:pPr>
      <w:r>
        <w:t>A18  融合架构与Motus联合后训练</w:t>
      </w:r>
    </w:p>
    <w:p>
      <w:pPr>
        <w:keepNext/>
        <w:spacing w:after="180" w:line="269" w:lineRule="auto"/>
      </w:pPr>
      <w:r>
        <w:rPr>
          <w:rFonts w:ascii="Arial" w:hAnsi="Arial" w:eastAsia="Hiragino Sans GB" w:cs="Arial"/>
          <w:b w:val="0"/>
          <w:bCs w:val="0"/>
          <w:color w:val="555555"/>
          <w:sz w:val="18"/>
        </w:rPr>
        <w:t>对应正文 6.5、6.6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1 张  正文。画VLM状态/子目标→规则或JEV选择→VLA与解析控制执行的主路径，WAM在旁路预测候选后果并与真实下一状态比较；用四行表说明各模块的输入、输出和独立评价。底部以三列区分low think调整单次预算、JEV改变选择环节、VLA分层改变高层介入次数。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讲解重点：按已出现的错误分配工作，先逐模块验证，再测试组合是否减少失败与总等待。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2 张  正文。先列Motus工程结果：约8.06B基座、43,502,271适配参数、双卡FP32十步与精确恢复、每卡57.34/59.47GiB allocated/reserved。再画A全部冻结、B动作/理解连接、C加VLM LoRA、D加WAN LoRA四臂，同起点同预算；并排保留控制成功与固定动作预测质量两张结果表的位置。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讲解重点：现有工程验证支持开展联合训练对照，下一步用任务表现和预测质量判断各模块更新的作用。</w:t>
      </w:r>
    </w:p>
    <w:p>
      <w:pPr>
        <w:keepNext/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第 3 张  备份。保留工程配置、两路图像与真实VAE/T5输入、step9恢复重做step10的验收项；训练核对表列数据时间对齐、初态隔离、梯度归属、冻结/遮断梯度对照、BF16数值与任务RL结果。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讲解重点：工程更新、恢复一致性和任务能力分别留证据，便于解释联合训练中的增益与退化。</w:t>
      </w:r>
    </w:p>
    <w:p>
      <w:pPr>
        <w:pStyle w:val="Heading1"/>
        <w:pageBreakBefore w:val="0"/>
      </w:pPr>
      <w:r>
        <w:t>附录 B  数据与来源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data 目录保留 15 张脱敏 CSV；derived-analysis.json 记录本版新增配对与耗时分解。table-data.json 和 figure-data.json 保存正文图表编号，ppt-plan.json 保存独立的演示拆分。统计分位数采用线性插值，新增复算包含闭合检查。</w:t>
      </w:r>
    </w:p>
    <w:p>
      <w:pPr>
        <w:spacing w:after="140"/>
      </w:pPr>
      <w:r>
        <w:rPr>
          <w:rFonts w:ascii="Arial" w:hAnsi="Arial" w:eastAsia="Hiragino Sans GB" w:cs="Arial"/>
          <w:b w:val="0"/>
          <w:bCs w:val="0"/>
          <w:color w:val="000000"/>
          <w:sz w:val="21"/>
        </w:rPr>
        <w:t>L 为本地发表报告，S 为本次精细计时使用的数据或采集定义，W 为外部论文与官方项目。外部榜单快照核验日期为 2026 年 10 月 16 日。</w:t>
      </w:r>
    </w:p>
    <w:p>
      <w:pPr>
        <w:pStyle w:val="Heading2"/>
        <w:pageBreakBefore w:val="0"/>
      </w:pPr>
      <w:r>
        <w:t>本地实验报告</w:t>
      </w:r>
    </w:p>
    <w:p>
      <w:pPr>
        <w:spacing w:after="60" w:line="264" w:lineRule="auto"/>
      </w:pPr>
      <w:hyperlink r:id="rId18">
        <w:r>
          <w:rPr>
            <w:rFonts w:ascii="Arial" w:hAnsi="Arial" w:eastAsia="Hiragino Sans GB" w:cs="Arial"/>
            <w:sz w:val="20"/>
            <w:color w:val="1D526B"/>
          </w:rPr>
          <w:t>L01  具身智能测试项目与数据汇总 v1.3</w:t>
        </w:r>
      </w:hyperlink>
    </w:p>
    <w:p>
      <w:pPr>
        <w:spacing w:after="60" w:line="264" w:lineRule="auto"/>
      </w:pPr>
      <w:hyperlink r:id="rId19">
        <w:r>
          <w:rPr>
            <w:rFonts w:ascii="Arial" w:hAnsi="Arial" w:eastAsia="Hiragino Sans GB" w:cs="Arial"/>
            <w:sz w:val="20"/>
            <w:color w:val="1D526B"/>
          </w:rPr>
          <w:t>L02  bowl多模型总结与同seed对照</w:t>
        </w:r>
      </w:hyperlink>
    </w:p>
    <w:p>
      <w:pPr>
        <w:spacing w:after="60" w:line="264" w:lineRule="auto"/>
      </w:pPr>
      <w:hyperlink r:id="rId20">
        <w:r>
          <w:rPr>
            <w:rFonts w:ascii="Arial" w:hAnsi="Arial" w:eastAsia="Hiragino Sans GB" w:cs="Arial"/>
            <w:sz w:val="20"/>
            <w:color w:val="1D526B"/>
          </w:rPr>
          <w:t>L03  GPT-as-Policy三任务逐轮决策实录</w:t>
        </w:r>
      </w:hyperlink>
    </w:p>
    <w:p>
      <w:pPr>
        <w:spacing w:after="60" w:line="264" w:lineRule="auto"/>
      </w:pPr>
      <w:hyperlink r:id="rId21">
        <w:r>
          <w:rPr>
            <w:rFonts w:ascii="Arial" w:hAnsi="Arial" w:eastAsia="Hiragino Sans GB" w:cs="Arial"/>
            <w:sz w:val="20"/>
            <w:color w:val="1D526B"/>
          </w:rPr>
          <w:t>L04  RPent Codex双模型120集结果</w:t>
        </w:r>
      </w:hyperlink>
    </w:p>
    <w:p>
      <w:pPr>
        <w:spacing w:after="60" w:line="264" w:lineRule="auto"/>
      </w:pPr>
      <w:hyperlink r:id="rId22">
        <w:r>
          <w:rPr>
            <w:rFonts w:ascii="Arial" w:hAnsi="Arial" w:eastAsia="Hiragino Sans GB" w:cs="Arial"/>
            <w:sz w:val="20"/>
            <w:color w:val="1D526B"/>
          </w:rPr>
          <w:t>L05  RPent 120集运行账本与性能报告</w:t>
        </w:r>
      </w:hyperlink>
    </w:p>
    <w:p>
      <w:pPr>
        <w:spacing w:after="60" w:line="264" w:lineRule="auto"/>
      </w:pPr>
      <w:hyperlink r:id="rId23">
        <w:r>
          <w:rPr>
            <w:rFonts w:ascii="Arial" w:hAnsi="Arial" w:eastAsia="Hiragino Sans GB" w:cs="Arial"/>
            <w:sz w:val="20"/>
            <w:color w:val="1D526B"/>
          </w:rPr>
          <w:t>L06  RPent独立8集精细计时数据</w:t>
        </w:r>
      </w:hyperlink>
    </w:p>
    <w:p>
      <w:pPr>
        <w:spacing w:after="60" w:line="264" w:lineRule="auto"/>
      </w:pPr>
      <w:hyperlink r:id="rId24">
        <w:r>
          <w:rPr>
            <w:rFonts w:ascii="Arial" w:hAnsi="Arial" w:eastAsia="Hiragino Sans GB" w:cs="Arial"/>
            <w:sz w:val="20"/>
            <w:color w:val="1D526B"/>
          </w:rPr>
          <w:t>L07  DeepSeek两场景性能审计与分阶段表</w:t>
        </w:r>
      </w:hyperlink>
    </w:p>
    <w:p>
      <w:pPr>
        <w:spacing w:after="60" w:line="264" w:lineRule="auto"/>
      </w:pPr>
      <w:hyperlink r:id="rId25">
        <w:r>
          <w:rPr>
            <w:rFonts w:ascii="Arial" w:hAnsi="Arial" w:eastAsia="Hiragino Sans GB" w:cs="Arial"/>
            <w:sz w:val="20"/>
            <w:color w:val="1D526B"/>
          </w:rPr>
          <w:t>L08  DeepSeek单局v5与Files API逐轮表复算</w:t>
        </w:r>
      </w:hyperlink>
    </w:p>
    <w:p>
      <w:pPr>
        <w:spacing w:after="60" w:line="264" w:lineRule="auto"/>
      </w:pPr>
      <w:hyperlink r:id="rId26">
        <w:r>
          <w:rPr>
            <w:rFonts w:ascii="Arial" w:hAnsi="Arial" w:eastAsia="Hiragino Sans GB" w:cs="Arial"/>
            <w:sz w:val="20"/>
            <w:color w:val="1D526B"/>
          </w:rPr>
          <w:t>L09  EmbodiedJev项目分析与RPent对比</w:t>
        </w:r>
      </w:hyperlink>
    </w:p>
    <w:p>
      <w:pPr>
        <w:spacing w:after="60" w:line="264" w:lineRule="auto"/>
      </w:pPr>
      <w:hyperlink r:id="rId27">
        <w:r>
          <w:rPr>
            <w:rFonts w:ascii="Arial" w:hAnsi="Arial" w:eastAsia="Hiragino Sans GB" w:cs="Arial"/>
            <w:sz w:val="20"/>
            <w:color w:val="1D526B"/>
          </w:rPr>
          <w:t>L10  RPent扩展FlashMode与libero_goal</w:t>
        </w:r>
      </w:hyperlink>
    </w:p>
    <w:p>
      <w:pPr>
        <w:spacing w:after="60" w:line="264" w:lineRule="auto"/>
      </w:pPr>
      <w:hyperlink r:id="rId28">
        <w:r>
          <w:rPr>
            <w:rFonts w:ascii="Arial" w:hAnsi="Arial" w:eastAsia="Hiragino Sans GB" w:cs="Arial"/>
            <w:sz w:val="20"/>
            <w:color w:val="1D526B"/>
          </w:rPr>
          <w:t>L11  COAP论文分析与RPent实验建议</w:t>
        </w:r>
      </w:hyperlink>
    </w:p>
    <w:p>
      <w:pPr>
        <w:spacing w:after="60" w:line="264" w:lineRule="auto"/>
      </w:pPr>
      <w:hyperlink r:id="rId29">
        <w:r>
          <w:rPr>
            <w:rFonts w:ascii="Arial" w:hAnsi="Arial" w:eastAsia="Hiragino Sans GB" w:cs="Arial"/>
            <w:sz w:val="20"/>
            <w:color w:val="1D526B"/>
          </w:rPr>
          <w:t>L12  EmbodiedEvo分析与RPent经验复用实验建议</w:t>
        </w:r>
      </w:hyperlink>
    </w:p>
    <w:p>
      <w:pPr>
        <w:spacing w:after="60" w:line="264" w:lineRule="auto"/>
      </w:pPr>
      <w:hyperlink r:id="rId30">
        <w:r>
          <w:rPr>
            <w:rFonts w:ascii="Arial" w:hAnsi="Arial" w:eastAsia="Hiragino Sans GB" w:cs="Arial"/>
            <w:sz w:val="20"/>
            <w:color w:val="1D526B"/>
          </w:rPr>
          <w:t>L13  VLM VLA双脑架构与推理优化调研</w:t>
        </w:r>
      </w:hyperlink>
    </w:p>
    <w:p>
      <w:pPr>
        <w:spacing w:after="60" w:line="264" w:lineRule="auto"/>
      </w:pPr>
      <w:hyperlink r:id="rId31">
        <w:r>
          <w:rPr>
            <w:rFonts w:ascii="Arial" w:hAnsi="Arial" w:eastAsia="Hiragino Sans GB" w:cs="Arial"/>
            <w:sz w:val="20"/>
            <w:color w:val="1D526B"/>
          </w:rPr>
          <w:t>L14  Motus与910B3联合端到端RL预注册</w:t>
        </w:r>
      </w:hyperlink>
    </w:p>
    <w:p>
      <w:pPr>
        <w:spacing w:after="60" w:line="264" w:lineRule="auto"/>
      </w:pPr>
      <w:hyperlink r:id="rId32">
        <w:r>
          <w:rPr>
            <w:rFonts w:ascii="Arial" w:hAnsi="Arial" w:eastAsia="Hiragino Sans GB" w:cs="Arial"/>
            <w:sz w:val="20"/>
            <w:color w:val="1D526B"/>
          </w:rPr>
          <w:t>L15  Motus联合训练模型选型核查</w:t>
        </w:r>
      </w:hyperlink>
    </w:p>
    <w:p>
      <w:pPr>
        <w:spacing w:after="60" w:line="264" w:lineRule="auto"/>
      </w:pPr>
      <w:hyperlink r:id="rId33">
        <w:r>
          <w:rPr>
            <w:rFonts w:ascii="Arial" w:hAnsi="Arial" w:eastAsia="Hiragino Sans GB" w:cs="Arial"/>
            <w:sz w:val="20"/>
            <w:color w:val="1D526B"/>
          </w:rPr>
          <w:t>L16  10月16日完整Motus工程小训练记录</w:t>
        </w:r>
      </w:hyperlink>
    </w:p>
    <w:p>
      <w:pPr>
        <w:spacing w:after="60" w:line="264" w:lineRule="auto"/>
      </w:pPr>
      <w:hyperlink r:id="rId34">
        <w:r>
          <w:rPr>
            <w:rFonts w:ascii="Arial" w:hAnsi="Arial" w:eastAsia="Hiragino Sans GB" w:cs="Arial"/>
            <w:sz w:val="20"/>
            <w:color w:val="1D526B"/>
          </w:rPr>
          <w:t>L17  GPT-as-Policy 18 格运行记录</w:t>
        </w:r>
      </w:hyperlink>
    </w:p>
    <w:p>
      <w:pPr>
        <w:spacing w:after="60" w:line="264" w:lineRule="auto"/>
      </w:pPr>
      <w:hyperlink r:id="rId35">
        <w:r>
          <w:rPr>
            <w:rFonts w:ascii="Arial" w:hAnsi="Arial" w:eastAsia="Hiragino Sans GB" w:cs="Arial"/>
            <w:sz w:val="20"/>
            <w:color w:val="1D526B"/>
          </w:rPr>
          <w:t>L18  GPT Token 与 Prefill Decoder 规律分析</w:t>
        </w:r>
      </w:hyperlink>
    </w:p>
    <w:p>
      <w:pPr>
        <w:spacing w:after="60" w:line="264" w:lineRule="auto"/>
      </w:pPr>
      <w:hyperlink r:id="rId36">
        <w:r>
          <w:rPr>
            <w:rFonts w:ascii="Arial" w:hAnsi="Arial" w:eastAsia="Hiragino Sans GB" w:cs="Arial"/>
            <w:sz w:val="20"/>
            <w:color w:val="1D526B"/>
          </w:rPr>
          <w:t>L19  RPent GLM 普通模式 Object Swap 20 集</w:t>
        </w:r>
      </w:hyperlink>
    </w:p>
    <w:p>
      <w:pPr>
        <w:pStyle w:val="Heading2"/>
        <w:pageBreakBefore w:val="0"/>
      </w:pPr>
      <w:r>
        <w:t>计时证据与复算</w:t>
      </w:r>
    </w:p>
    <w:p>
      <w:pPr>
        <w:spacing w:after="60" w:line="264" w:lineRule="auto"/>
      </w:pPr>
      <w:hyperlink r:id="rId22">
        <w:r>
          <w:rPr>
            <w:rFonts w:ascii="Arial" w:hAnsi="Arial" w:eastAsia="Hiragino Sans GB" w:cs="Arial"/>
            <w:sz w:val="20"/>
            <w:color w:val="1D526B"/>
          </w:rPr>
          <w:t>S1  120 集逐集结果、请求计量、五类互斥时间；由安全 CSV 复算</w:t>
        </w:r>
      </w:hyperlink>
    </w:p>
    <w:p>
      <w:pPr>
        <w:spacing w:after="60" w:line="264" w:lineRule="auto"/>
      </w:pPr>
      <w:hyperlink r:id="rId23">
        <w:r>
          <w:rPr>
            <w:rFonts w:ascii="Arial" w:hAnsi="Arial" w:eastAsia="Hiragino Sans GB" w:cs="Arial"/>
            <w:sz w:val="20"/>
            <w:color w:val="1D526B"/>
          </w:rPr>
          <w:t>S2  8 集、时间轴、动作和嵌套阶段；quantitative-conclusion 与 excluded-attempt-cost-ledger 交叉核验</w:t>
        </w:r>
      </w:hyperlink>
    </w:p>
    <w:p>
      <w:pPr>
        <w:spacing w:after="60" w:line="264" w:lineRule="auto"/>
      </w:pPr>
      <w:hyperlink r:id="rId37">
        <w:r>
          <w:rPr>
            <w:rFonts w:ascii="Arial" w:hAnsi="Arial" w:eastAsia="Hiragino Sans GB" w:cs="Arial"/>
            <w:sz w:val="20"/>
            <w:color w:val="1D526B"/>
          </w:rPr>
          <w:t>S3  render-path-audit.json、vla-calibration.json、logical-sampling-count-convention.json</w:t>
        </w:r>
      </w:hyperlink>
    </w:p>
    <w:p>
      <w:pPr>
        <w:spacing w:after="60" w:line="264" w:lineRule="auto"/>
      </w:pPr>
      <w:hyperlink r:id="rId38">
        <w:r>
          <w:rPr>
            <w:rFonts w:ascii="Arial" w:hAnsi="Arial" w:eastAsia="Hiragino Sans GB" w:cs="Arial"/>
            <w:sz w:val="20"/>
            <w:color w:val="1D526B"/>
          </w:rPr>
          <w:t>S4  audited-data.json、streaming-phases.csv、proxy-run-mapping.json、io-evidence.json</w:t>
        </w:r>
      </w:hyperlink>
    </w:p>
    <w:p>
      <w:pPr>
        <w:spacing w:after="60" w:line="264" w:lineRule="auto"/>
      </w:pPr>
      <w:hyperlink r:id="rId39">
        <w:r>
          <w:rPr>
            <w:rFonts w:ascii="Arial" w:hAnsi="Arial" w:eastAsia="Hiragino Sans GB" w:cs="Arial"/>
            <w:sz w:val="20"/>
            <w:color w:val="1D526B"/>
          </w:rPr>
          <w:t>S5  HTTP 流采集/TTFT/TPOT 定义；同时读取 proxy-source-audit.md 的代理字段审计</w:t>
        </w:r>
      </w:hyperlink>
    </w:p>
    <w:p>
      <w:pPr>
        <w:spacing w:after="60" w:line="264" w:lineRule="auto"/>
      </w:pPr>
      <w:hyperlink r:id="rId40">
        <w:r>
          <w:rPr>
            <w:rFonts w:ascii="Arial" w:hAnsi="Arial" w:eastAsia="Hiragino Sans GB" w:cs="Arial"/>
            <w:sz w:val="20"/>
            <w:color w:val="1D526B"/>
          </w:rPr>
          <w:t>S6  ds_flash_v5_report.html 与 files_api_report.html 的已提取安全逐轮表；不展开会话/图片</w:t>
        </w:r>
      </w:hyperlink>
    </w:p>
    <w:p>
      <w:pPr>
        <w:spacing w:after="60" w:line="264" w:lineRule="auto"/>
      </w:pPr>
      <w:hyperlink r:id="rId41">
        <w:r>
          <w:rPr>
            <w:rFonts w:ascii="Arial" w:hAnsi="Arial" w:eastAsia="Hiragino Sans GB" w:cs="Arial"/>
            <w:sz w:val="20"/>
            <w:color w:val="1D526B"/>
          </w:rPr>
          <w:t>S7  stream-probe.json、upload-ladder.json、calibration.json、cliff-ab.json</w:t>
        </w:r>
      </w:hyperlink>
    </w:p>
    <w:p>
      <w:pPr>
        <w:pStyle w:val="Heading2"/>
        <w:pageBreakBefore w:val="0"/>
      </w:pPr>
      <w:r>
        <w:t>外部论文与官方资料</w:t>
      </w:r>
    </w:p>
    <w:p>
      <w:pPr>
        <w:spacing w:after="60" w:line="264" w:lineRule="auto"/>
      </w:pPr>
      <w:hyperlink r:id="rId42">
        <w:r>
          <w:rPr>
            <w:rFonts w:ascii="Arial" w:hAnsi="Arial" w:eastAsia="Hiragino Sans GB" w:cs="Arial"/>
            <w:sz w:val="20"/>
            <w:color w:val="1D526B"/>
          </w:rPr>
          <w:t>W01  RoboDojo v1 paper</w:t>
        </w:r>
      </w:hyperlink>
    </w:p>
    <w:p>
      <w:pPr>
        <w:spacing w:after="60" w:line="264" w:lineRule="auto"/>
      </w:pPr>
      <w:hyperlink r:id="rId43">
        <w:r>
          <w:rPr>
            <w:rFonts w:ascii="Arial" w:hAnsi="Arial" w:eastAsia="Hiragino Sans GB" w:cs="Arial"/>
            <w:sz w:val="20"/>
            <w:color w:val="1D526B"/>
          </w:rPr>
          <w:t>W02  RoboDojo official homepage leaderboard and News</w:t>
        </w:r>
      </w:hyperlink>
    </w:p>
    <w:p>
      <w:pPr>
        <w:spacing w:after="60" w:line="264" w:lineRule="auto"/>
      </w:pPr>
      <w:hyperlink r:id="rId44">
        <w:r>
          <w:rPr>
            <w:rFonts w:ascii="Arial" w:hAnsi="Arial" w:eastAsia="Hiragino Sans GB" w:cs="Arial"/>
            <w:sz w:val="20"/>
            <w:color w:val="1D526B"/>
          </w:rPr>
          <w:t>W03  LIBERO official datasets</w:t>
        </w:r>
      </w:hyperlink>
    </w:p>
    <w:p>
      <w:pPr>
        <w:spacing w:after="60" w:line="264" w:lineRule="auto"/>
      </w:pPr>
      <w:hyperlink r:id="rId45">
        <w:r>
          <w:rPr>
            <w:rFonts w:ascii="Arial" w:hAnsi="Arial" w:eastAsia="Hiragino Sans GB" w:cs="Arial"/>
            <w:sz w:val="20"/>
            <w:color w:val="1D526B"/>
          </w:rPr>
          <w:t>W04  LIBERO official repository</w:t>
        </w:r>
      </w:hyperlink>
    </w:p>
    <w:p>
      <w:pPr>
        <w:spacing w:after="60" w:line="264" w:lineRule="auto"/>
      </w:pPr>
      <w:hyperlink r:id="rId46">
        <w:r>
          <w:rPr>
            <w:rFonts w:ascii="Arial" w:hAnsi="Arial" w:eastAsia="Hiragino Sans GB" w:cs="Arial"/>
            <w:sz w:val="20"/>
            <w:color w:val="1D526B"/>
          </w:rPr>
          <w:t>W05  RoboSpatial</w:t>
        </w:r>
      </w:hyperlink>
    </w:p>
    <w:p>
      <w:pPr>
        <w:spacing w:after="60" w:line="264" w:lineRule="auto"/>
      </w:pPr>
      <w:hyperlink r:id="rId47">
        <w:r>
          <w:rPr>
            <w:rFonts w:ascii="Arial" w:hAnsi="Arial" w:eastAsia="Hiragino Sans GB" w:cs="Arial"/>
            <w:sz w:val="20"/>
            <w:color w:val="1D526B"/>
          </w:rPr>
          <w:t>W06  SpatialVLM</w:t>
        </w:r>
      </w:hyperlink>
    </w:p>
    <w:p>
      <w:pPr>
        <w:spacing w:after="60" w:line="264" w:lineRule="auto"/>
      </w:pPr>
      <w:hyperlink r:id="rId48">
        <w:r>
          <w:rPr>
            <w:rFonts w:ascii="Arial" w:hAnsi="Arial" w:eastAsia="Hiragino Sans GB" w:cs="Arial"/>
            <w:sz w:val="20"/>
            <w:color w:val="1D526B"/>
          </w:rPr>
          <w:t>W07  DAgger</w:t>
        </w:r>
      </w:hyperlink>
    </w:p>
    <w:p>
      <w:pPr>
        <w:spacing w:after="60" w:line="264" w:lineRule="auto"/>
      </w:pPr>
      <w:hyperlink r:id="rId49">
        <w:r>
          <w:rPr>
            <w:rFonts w:ascii="Arial" w:hAnsi="Arial" w:eastAsia="Hiragino Sans GB" w:cs="Arial"/>
            <w:sz w:val="20"/>
            <w:color w:val="1D526B"/>
          </w:rPr>
          <w:t>W08  Embodied-R1.5</w:t>
        </w:r>
      </w:hyperlink>
    </w:p>
    <w:p>
      <w:pPr>
        <w:spacing w:after="60" w:line="264" w:lineRule="auto"/>
      </w:pPr>
      <w:hyperlink r:id="rId50">
        <w:r>
          <w:rPr>
            <w:rFonts w:ascii="Arial" w:hAnsi="Arial" w:eastAsia="Hiragino Sans GB" w:cs="Arial"/>
            <w:sz w:val="20"/>
            <w:color w:val="1D526B"/>
          </w:rPr>
          <w:t>W09  Pointing-VLA</w:t>
        </w:r>
      </w:hyperlink>
    </w:p>
    <w:p>
      <w:pPr>
        <w:spacing w:after="60" w:line="264" w:lineRule="auto"/>
      </w:pPr>
      <w:hyperlink r:id="rId51">
        <w:r>
          <w:rPr>
            <w:rFonts w:ascii="Arial" w:hAnsi="Arial" w:eastAsia="Hiragino Sans GB" w:cs="Arial"/>
            <w:sz w:val="20"/>
            <w:color w:val="1D526B"/>
          </w:rPr>
          <w:t>W10  Embodied-R1</w:t>
        </w:r>
      </w:hyperlink>
    </w:p>
    <w:p>
      <w:pPr>
        <w:spacing w:after="60" w:line="264" w:lineRule="auto"/>
      </w:pPr>
      <w:hyperlink r:id="rId52">
        <w:r>
          <w:rPr>
            <w:rFonts w:ascii="Arial" w:hAnsi="Arial" w:eastAsia="Hiragino Sans GB" w:cs="Arial"/>
            <w:sz w:val="20"/>
            <w:color w:val="1D526B"/>
          </w:rPr>
          <w:t>W11  Embodied Turing Machines: Stateful Code for Robot Recursive Self-Improvement</w:t>
        </w:r>
      </w:hyperlink>
    </w:p>
    <w:p>
      <w:pPr>
        <w:spacing w:after="60" w:line="264" w:lineRule="auto"/>
      </w:pPr>
      <w:hyperlink r:id="rId53">
        <w:r>
          <w:rPr>
            <w:rFonts w:ascii="Arial" w:hAnsi="Arial" w:eastAsia="Hiragino Sans GB" w:cs="Arial"/>
            <w:sz w:val="20"/>
            <w:color w:val="1D526B"/>
          </w:rPr>
          <w:t>W12  EmbodiedEvo: Self-Evolving Coding Agent For Physical Intelligence</w:t>
        </w:r>
      </w:hyperlink>
    </w:p>
    <w:p>
      <w:pPr>
        <w:spacing w:after="60" w:line="264" w:lineRule="auto"/>
      </w:pPr>
      <w:hyperlink r:id="rId54">
        <w:r>
          <w:rPr>
            <w:rFonts w:ascii="Arial" w:hAnsi="Arial" w:eastAsia="Hiragino Sans GB" w:cs="Arial"/>
            <w:sz w:val="20"/>
            <w:color w:val="1D526B"/>
          </w:rPr>
          <w:t>W13  Real-Time Execution of Action Chunking Flow Policies</w:t>
        </w:r>
      </w:hyperlink>
    </w:p>
    <w:p>
      <w:pPr>
        <w:spacing w:after="60" w:line="264" w:lineRule="auto"/>
      </w:pPr>
      <w:hyperlink r:id="rId55">
        <w:r>
          <w:rPr>
            <w:rFonts w:ascii="Arial" w:hAnsi="Arial" w:eastAsia="Hiragino Sans GB" w:cs="Arial"/>
            <w:sz w:val="20"/>
            <w:color w:val="1D526B"/>
          </w:rPr>
          <w:t>W14  Hi Robot: Open-Ended Instruction Following with Hierarchical Vision-Language-Action Models</w:t>
        </w:r>
      </w:hyperlink>
    </w:p>
    <w:p>
      <w:pPr>
        <w:spacing w:after="60" w:line="264" w:lineRule="auto"/>
      </w:pPr>
      <w:hyperlink r:id="rId56">
        <w:r>
          <w:rPr>
            <w:rFonts w:ascii="Arial" w:hAnsi="Arial" w:eastAsia="Hiragino Sans GB" w:cs="Arial"/>
            <w:sz w:val="20"/>
            <w:color w:val="1D526B"/>
          </w:rPr>
          <w:t>W15  Helix: A Vision-Language-Action Model for Generalist Humanoid Control</w:t>
        </w:r>
      </w:hyperlink>
    </w:p>
    <w:p>
      <w:pPr>
        <w:spacing w:after="60" w:line="264" w:lineRule="auto"/>
      </w:pPr>
      <w:hyperlink r:id="rId57">
        <w:r>
          <w:rPr>
            <w:rFonts w:ascii="Arial" w:hAnsi="Arial" w:eastAsia="Hiragino Sans GB" w:cs="Arial"/>
            <w:sz w:val="20"/>
            <w:color w:val="1D526B"/>
          </w:rPr>
          <w:t>W16  Motus: A Unified Latent Action World Model</w:t>
        </w:r>
      </w:hyperlink>
    </w:p>
    <w:p>
      <w:pPr>
        <w:spacing w:after="60" w:line="264" w:lineRule="auto"/>
      </w:pPr>
      <w:hyperlink r:id="rId58">
        <w:r>
          <w:rPr>
            <w:rFonts w:ascii="Arial" w:hAnsi="Arial" w:eastAsia="Hiragino Sans GB" w:cs="Arial"/>
            <w:sz w:val="20"/>
            <w:color w:val="1D526B"/>
          </w:rPr>
          <w:t>W17  Motus2: A Self-Evolving General World Model for Dexterous Manipulation</w:t>
        </w:r>
      </w:hyperlink>
    </w:p>
    <w:p>
      <w:pPr>
        <w:spacing w:after="60" w:line="264" w:lineRule="auto"/>
      </w:pPr>
      <w:hyperlink r:id="rId59">
        <w:r>
          <w:rPr>
            <w:rFonts w:ascii="Arial" w:hAnsi="Arial" w:eastAsia="Hiragino Sans GB" w:cs="Arial"/>
            <w:sz w:val="20"/>
            <w:color w:val="1D526B"/>
          </w:rPr>
          <w:t>W18  EmbodiedJev fixed-source candidate selection and servo</w:t>
        </w:r>
      </w:hyperlink>
    </w:p>
    <w:p>
      <w:pPr>
        <w:spacing w:after="60" w:line="264" w:lineRule="auto"/>
      </w:pPr>
      <w:hyperlink r:id="rId60">
        <w:r>
          <w:rPr>
            <w:rFonts w:ascii="Arial" w:hAnsi="Arial" w:eastAsia="Hiragino Sans GB" w:cs="Arial"/>
            <w:sz w:val="20"/>
            <w:color w:val="1D526B"/>
          </w:rPr>
          <w:t>W19  ReinFlow: Fine-tuning Flow Matching Policy with Online Reinforcement Learning</w:t>
        </w:r>
      </w:hyperlink>
    </w:p>
    <w:p>
      <w:pPr>
        <w:spacing w:after="60" w:line="264" w:lineRule="auto"/>
      </w:pPr>
      <w:hyperlink r:id="rId61">
        <w:r>
          <w:rPr>
            <w:rFonts w:ascii="Arial" w:hAnsi="Arial" w:eastAsia="Hiragino Sans GB" w:cs="Arial"/>
            <w:sz w:val="20"/>
            <w:color w:val="1D526B"/>
          </w:rPr>
          <w:t>W20  LIBERO-PRO official repository</w:t>
        </w:r>
      </w:hyperlink>
    </w:p>
    <w:p>
      <w:pPr>
        <w:spacing w:after="60" w:line="264" w:lineRule="auto"/>
      </w:pPr>
      <w:hyperlink r:id="rId62">
        <w:r>
          <w:rPr>
            <w:rFonts w:ascii="Arial" w:hAnsi="Arial" w:eastAsia="Hiragino Sans GB" w:cs="Arial"/>
            <w:sz w:val="20"/>
            <w:color w:val="1D526B"/>
          </w:rPr>
          <w:t>W21  Motus2 official code release status</w:t>
        </w:r>
      </w:hyperlink>
    </w:p>
    <w:p>
      <w:pPr>
        <w:spacing w:after="60" w:line="264" w:lineRule="auto"/>
      </w:pPr>
      <w:hyperlink r:id="rId63">
        <w:r>
          <w:rPr>
            <w:rFonts w:ascii="Arial" w:hAnsi="Arial" w:eastAsia="Hiragino Sans GB" w:cs="Arial"/>
            <w:sz w:val="20"/>
            <w:color w:val="1D526B"/>
          </w:rPr>
          <w:t>W22  Motus Team official model directory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51" w:bottom="936" w:left="105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 w:cs="Arial"/>
        <w:color w:val="555555"/>
        <w:sz w:val="16"/>
      </w:rPr>
      <w:t xml:space="preserve">v4.0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Hiragino Sans GB" w:cs="Arial"/>
        <w:color w:val="555555"/>
        <w:sz w:val="16"/>
      </w:rPr>
      <w:t>具身智能实验结果与改进方向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  <w:ind w:left="0" w:firstLine="0"/>
      <w:jc w:val="left"/>
    </w:pPr>
    <w:rPr>
      <w:rFonts w:ascii="Arial" w:hAnsi="Arial" w:eastAsia="Hiragino Sans GB" w:cs="Arial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60" w:line="278" w:lineRule="auto"/>
      <w:ind w:left="0" w:firstLine="0"/>
      <w:jc w:val="left"/>
      <w:outlineLvl w:val="0"/>
    </w:pPr>
    <w:rPr>
      <w:rFonts w:ascii="Arial" w:hAnsi="Arial" w:eastAsia="Hiragino Sans GB" w:cs="Arial"/>
      <w:b/>
      <w:bCs/>
      <w:i w:val="0"/>
      <w:iCs w:val="0"/>
      <w:color w:val="000000"/>
      <w:sz w:val="34"/>
      <w:szCs w:val="28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60" w:line="278" w:lineRule="auto"/>
      <w:ind w:left="0" w:firstLine="0"/>
      <w:jc w:val="left"/>
      <w:outlineLvl w:val="1"/>
    </w:pPr>
    <w:rPr>
      <w:rFonts w:ascii="Arial" w:hAnsi="Arial" w:eastAsia="Hiragino Sans GB" w:cs="Arial"/>
      <w:b/>
      <w:bCs/>
      <w:i w:val="0"/>
      <w:iCs w:val="0"/>
      <w:color w:val="000000"/>
      <w:sz w:val="26"/>
      <w:szCs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60" w:line="278" w:lineRule="auto"/>
      <w:ind w:left="0" w:firstLine="0"/>
      <w:jc w:val="left"/>
      <w:outlineLvl w:val="2"/>
    </w:pPr>
    <w:rPr>
      <w:rFonts w:ascii="Arial" w:hAnsi="Arial" w:eastAsia="Hiragino Sans GB" w:cs="Arial"/>
      <w:b/>
      <w:bCs/>
      <w:i w:val="0"/>
      <w:iCs w:val="0"/>
      <w:color w:val="00000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78" w:lineRule="auto"/>
      <w:ind w:left="0" w:firstLine="0"/>
      <w:contextualSpacing/>
      <w:jc w:val="left"/>
    </w:pPr>
    <w:rPr>
      <w:rFonts w:ascii="Arial" w:hAnsi="Arial" w:eastAsia="Hiragino Sans GB" w:cs="Arial"/>
      <w:b/>
      <w:bCs/>
      <w:i w:val="0"/>
      <w:iCs w:val="0"/>
      <w:color w:val="000000"/>
      <w:spacing w:val="5"/>
      <w:kern w:val="28"/>
      <w:sz w:val="48"/>
      <w:szCs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78" w:lineRule="auto" w:after="140"/>
      <w:ind w:left="0" w:firstLine="0"/>
      <w:jc w:val="left"/>
    </w:pPr>
    <w:rPr>
      <w:rFonts w:ascii="Arial" w:hAnsi="Arial" w:eastAsia="Hiragino Sans GB" w:cs="Arial"/>
      <w:b w:val="0"/>
      <w:bCs w:val="0"/>
      <w:i w:val="0"/>
      <w:iCs w:val="0"/>
      <w:color w:val="000000"/>
      <w:spacing w:val="15"/>
      <w:sz w:val="24"/>
      <w:szCs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../2026-10-16-&#20855;&#36523;&#26234;&#33021;&#27979;&#35797;&#39033;&#30446;&#19982;&#25968;&#25454;&#27719;&#24635;.md" TargetMode="External"/><Relationship Id="rId19" Type="http://schemas.openxmlformats.org/officeDocument/2006/relationships/hyperlink" Target="../../2026_0914-0920_GPT6Astra&#35780;&#27979;&#22797;&#29616;/2026-09-16-bowl-eval-v1&#22235;&#27169;&#22411;&#24635;&#32467;&#25253;&#21578;.md" TargetMode="External"/><Relationship Id="rId20" Type="http://schemas.openxmlformats.org/officeDocument/2006/relationships/hyperlink" Target="../../2026_0921-0927_&#21516;&#26426;&#20223;&#30495;&#19982;&#20113;&#36793;&#39564;&#35777;/2026-09-22-LIBERO10-task0-Ori-init0-&#36880;&#36718;&#20915;&#31574;&#23454;&#24405;.md" TargetMode="External"/><Relationship Id="rId21" Type="http://schemas.openxmlformats.org/officeDocument/2006/relationships/hyperlink" Target="../../2026_0928-1004_RPent&#21452;&#33041;&#23545;&#29031;&#19982;&#22238;&#39304;/2026-10-01-RPent-Codex&#21452;&#27169;&#22411;120&#38598;&#32467;&#26524;.md" TargetMode="External"/><Relationship Id="rId22" Type="http://schemas.openxmlformats.org/officeDocument/2006/relationships/hyperlink" Target="../../2026_1005-1011_RPent&#25512;&#29702;&#24615;&#33021;&#20998;&#26512;/evidence/runtime-ledger.json" TargetMode="External"/><Relationship Id="rId23" Type="http://schemas.openxmlformats.org/officeDocument/2006/relationships/hyperlink" Target="../../2026_1005-1011_RPent&#25512;&#29702;&#24615;&#33021;&#20998;&#26512;/deep-report/report-data.json" TargetMode="External"/><Relationship Id="rId24" Type="http://schemas.openxmlformats.org/officeDocument/2006/relationships/hyperlink" Target="../ds-report/README.md" TargetMode="External"/><Relationship Id="rId25" Type="http://schemas.openxmlformats.org/officeDocument/2006/relationships/hyperlink" Target="../2026-10-16-&#19977;&#23618;&#30740;&#31350;&#25253;&#21578;/data/ds_flash_v5_report_table.csv" TargetMode="External"/><Relationship Id="rId26" Type="http://schemas.openxmlformats.org/officeDocument/2006/relationships/hyperlink" Target="../2026-10-13-EmbodiedJev&#39033;&#30446;&#20998;&#26512;&#19982;RPent&#23545;&#27604;.md" TargetMode="External"/><Relationship Id="rId27" Type="http://schemas.openxmlformats.org/officeDocument/2006/relationships/hyperlink" Target="../../2026_0921-0927_&#21516;&#26426;&#20223;&#30495;&#19982;&#20113;&#36793;&#39564;&#35777;/2026-09-27-RPent&#25193;&#23637;-FlashMode&#19982;libero_goal.md" TargetMode="External"/><Relationship Id="rId28" Type="http://schemas.openxmlformats.org/officeDocument/2006/relationships/hyperlink" Target="../2026-10-15-COAP&#35770;&#25991;&#20998;&#26512;&#19982;RPent&#23454;&#39564;&#24314;&#35758;.md" TargetMode="External"/><Relationship Id="rId29" Type="http://schemas.openxmlformats.org/officeDocument/2006/relationships/hyperlink" Target="../2026-10-15-EmbodiedEvo&#20998;&#26512;&#19982;RPent&#32463;&#39564;&#22797;&#29992;&#23454;&#39564;&#24314;&#35758;.md" TargetMode="External"/><Relationship Id="rId30" Type="http://schemas.openxmlformats.org/officeDocument/2006/relationships/hyperlink" Target="../2026-10-13-VLM-VLA&#21452;&#33041;&#26550;&#26500;&#19982;&#25512;&#29702;&#20248;&#21270;&#35843;&#30740;.md" TargetMode="External"/><Relationship Id="rId31" Type="http://schemas.openxmlformats.org/officeDocument/2006/relationships/hyperlink" Target="../2026-10-14-Motus&#19982;910B3&#32852;&#21512;&#31471;&#21040;&#31471;RL&#23454;&#39564;&#39044;&#27880;&#20876;.md" TargetMode="External"/><Relationship Id="rId32" Type="http://schemas.openxmlformats.org/officeDocument/2006/relationships/hyperlink" Target="../2026-10-15-Motus&#32852;&#21512;&#35757;&#32451;&#30340;VLM&#19982;Wan&#27169;&#22411;&#36873;&#22411;&#26680;&#26597;.md" TargetMode="External"/><Relationship Id="rId33" Type="http://schemas.openxmlformats.org/officeDocument/2006/relationships/hyperlink" Target="../readme.md" TargetMode="External"/><Relationship Id="rId34" Type="http://schemas.openxmlformats.org/officeDocument/2006/relationships/hyperlink" Target="../../2026_0921-0927_&#21516;&#26426;&#20223;&#30495;&#19982;&#20113;&#36793;&#39564;&#35777;/2026-09-21-init0-18&#26684;&#36816;&#34892;&#35760;&#24405;.md" TargetMode="External"/><Relationship Id="rId35" Type="http://schemas.openxmlformats.org/officeDocument/2006/relationships/hyperlink" Target="../../2026_0921-0927_&#21516;&#26426;&#20223;&#30495;&#19982;&#20113;&#36793;&#39564;&#35777;/2026-09-22-GPT-Token&#19982;Prefill-Decoder&#35268;&#24459;&#20998;&#26512;.md" TargetMode="External"/><Relationship Id="rId36" Type="http://schemas.openxmlformats.org/officeDocument/2006/relationships/hyperlink" Target="../../2026_0921-0927_&#21516;&#26426;&#20223;&#30495;&#19982;&#20113;&#36793;&#39564;&#35777;/2026-09-24-RPent&#22797;&#29616;-npunew-GLM5.3-ObjectSwap20&#38598;.md" TargetMode="External"/><Relationship Id="rId37" Type="http://schemas.openxmlformats.org/officeDocument/2006/relationships/hyperlink" Target="../../2026_1005-1011_RPent&#25512;&#29702;&#24615;&#33021;&#20998;&#26512;/deep-report/evidence" TargetMode="External"/><Relationship Id="rId38" Type="http://schemas.openxmlformats.org/officeDocument/2006/relationships/hyperlink" Target="../ds-report" TargetMode="External"/><Relationship Id="rId39" Type="http://schemas.openxmlformats.org/officeDocument/2006/relationships/hyperlink" Target="../ds-report/measurement-source.md" TargetMode="External"/><Relationship Id="rId40" Type="http://schemas.openxmlformats.org/officeDocument/2006/relationships/hyperlink" Target="data" TargetMode="External"/><Relationship Id="rId41" Type="http://schemas.openxmlformats.org/officeDocument/2006/relationships/hyperlink" Target="../../2026_1005-1011_RPent&#25512;&#29702;&#24615;&#33021;&#20998;&#26512;/evidence-ds-20261009" TargetMode="External"/><Relationship Id="rId42" Type="http://schemas.openxmlformats.org/officeDocument/2006/relationships/hyperlink" Target="https://arxiv.org/html/2607.04434v1" TargetMode="External"/><Relationship Id="rId43" Type="http://schemas.openxmlformats.org/officeDocument/2006/relationships/hyperlink" Target="https://robodojo-benchmark.com/" TargetMode="External"/><Relationship Id="rId44" Type="http://schemas.openxmlformats.org/officeDocument/2006/relationships/hyperlink" Target="https://libero-project.github.io/datasets" TargetMode="External"/><Relationship Id="rId45" Type="http://schemas.openxmlformats.org/officeDocument/2006/relationships/hyperlink" Target="https://github.com/Lifelong-Robot-Learning/LIBERO" TargetMode="External"/><Relationship Id="rId46" Type="http://schemas.openxmlformats.org/officeDocument/2006/relationships/hyperlink" Target="https://arxiv.org/abs/2411.16537v5" TargetMode="External"/><Relationship Id="rId47" Type="http://schemas.openxmlformats.org/officeDocument/2006/relationships/hyperlink" Target="https://spatial-vlm.github.io/" TargetMode="External"/><Relationship Id="rId48" Type="http://schemas.openxmlformats.org/officeDocument/2006/relationships/hyperlink" Target="https://proceedings.mlr.press/v15/ross11a.html" TargetMode="External"/><Relationship Id="rId49" Type="http://schemas.openxmlformats.org/officeDocument/2006/relationships/hyperlink" Target="https://arxiv.org/abs/2606.11324v2" TargetMode="External"/><Relationship Id="rId50" Type="http://schemas.openxmlformats.org/officeDocument/2006/relationships/hyperlink" Target="https://arxiv.org/abs/2608.23138" TargetMode="External"/><Relationship Id="rId51" Type="http://schemas.openxmlformats.org/officeDocument/2006/relationships/hyperlink" Target="https://arxiv.org/abs/2508.13998" TargetMode="External"/><Relationship Id="rId52" Type="http://schemas.openxmlformats.org/officeDocument/2006/relationships/hyperlink" Target="https://arxiv.org/html/2610.12369v1" TargetMode="External"/><Relationship Id="rId53" Type="http://schemas.openxmlformats.org/officeDocument/2006/relationships/hyperlink" Target="https://arxiv.org/html/2610.18867v2" TargetMode="External"/><Relationship Id="rId54" Type="http://schemas.openxmlformats.org/officeDocument/2006/relationships/hyperlink" Target="https://arxiv.org/abs/2506.07339v2" TargetMode="External"/><Relationship Id="rId55" Type="http://schemas.openxmlformats.org/officeDocument/2006/relationships/hyperlink" Target="https://arxiv.org/html/2502.19417v2" TargetMode="External"/><Relationship Id="rId56" Type="http://schemas.openxmlformats.org/officeDocument/2006/relationships/hyperlink" Target="https://www.figure.ai/news/helix" TargetMode="External"/><Relationship Id="rId57" Type="http://schemas.openxmlformats.org/officeDocument/2006/relationships/hyperlink" Target="https://arxiv.org/abs/2512.13030v2" TargetMode="External"/><Relationship Id="rId58" Type="http://schemas.openxmlformats.org/officeDocument/2006/relationships/hyperlink" Target="https://arxiv.org/abs/2608.30237v2" TargetMode="External"/><Relationship Id="rId59" Type="http://schemas.openxmlformats.org/officeDocument/2006/relationships/hyperlink" Target="https://github.com/FBddcz/embodied-jev/blob/f08de2e4e20d6cd69fea9c57ac1062c3ef510f1e/src/embodied_jev/policies.py#L277-L313" TargetMode="External"/><Relationship Id="rId60" Type="http://schemas.openxmlformats.org/officeDocument/2006/relationships/hyperlink" Target="https://arxiv.org/html/2505.22094v2" TargetMode="External"/><Relationship Id="rId61" Type="http://schemas.openxmlformats.org/officeDocument/2006/relationships/hyperlink" Target="https://github.com/RLinf/LIBERO-PRO" TargetMode="External"/><Relationship Id="rId62" Type="http://schemas.openxmlformats.org/officeDocument/2006/relationships/hyperlink" Target="https://github.com/shengshu-ai/Motus2" TargetMode="External"/><Relationship Id="rId63" Type="http://schemas.openxmlformats.org/officeDocument/2006/relationships/hyperlink" Target="https://huggingface.co/motus-robo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具身智能实验结果与改进方向报告</dc:title>
  <dc:subject>v4.0 实验结果 分层性能分析 与后续实验设计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