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具身智能推理性能评估与优化完整报告</w:t>
      </w:r>
    </w:p>
    <w:p>
      <w:pPr>
        <w:pStyle w:val="Subtitle"/>
        <w:widowControl/>
      </w:pPr>
      <w:r>
        <w:rPr>
          <w:rFonts w:ascii="Arial" w:hAnsi="Arial" w:eastAsia="Hiragino Sans GB"/>
          <w:b w:val="0"/>
          <w:color w:val="000000"/>
        </w:rPr>
        <w:t>实验成果、耗时分解与候选路线比较</w:t>
        <w:br/>
        <w:t>GPT-as-Policy · bowl · RPent · DeepSeek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</w:r>
      <w:r>
        <w:rPr>
          <w:rFonts w:ascii="Arial" w:hAnsi="Arial" w:eastAsia="Hiragino Sans GB"/>
          <w:b/>
          <w:color w:val="000000"/>
        </w:rPr>
        <w:t>版本 v2.0 · 2026年10月14日</w:t>
      </w:r>
      <w:r>
        <w:rPr>
          <w:rFonts w:ascii="Arial" w:hAnsi="Arial" w:eastAsia="Hiragino Sans GB"/>
          <w:b w:val="0"/>
          <w:color w:val="000000"/>
        </w:rPr>
        <w:br/>
        <w:t>性能评估以耗时为主线，比较优化方案时保持任务完成质量基本不下降。实验结果按各自任务、样本和计时边界呈现。</w:t>
      </w:r>
    </w:p>
    <w:p>
      <w:pPr>
        <w:pStyle w:val="Heading2"/>
      </w:pPr>
      <w:r>
        <w:t>已完成的工作与主要发现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211"/>
        <w:gridCol w:w="4982"/>
      </w:tblGrid>
      <w:tr>
        <w:trPr>
          <w:cantSplit/>
          <w:tblHeader/>
        </w:trPr>
        <w:tc>
          <w:tcPr>
            <w:tcW w:type="dxa" w:w="194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实验工作</w:t>
            </w:r>
          </w:p>
        </w:tc>
        <w:tc>
          <w:tcPr>
            <w:tcW w:type="dxa" w:w="3211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关键性能结果</w:t>
            </w:r>
          </w:p>
        </w:tc>
        <w:tc>
          <w:tcPr>
            <w:tcW w:type="dxa" w:w="498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结论及适用范围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GPT-as-Policy</w:t>
              <w:br/>
              <w:t>三任务三路线</w:t>
            </w:r>
          </w:p>
        </w:tc>
        <w:tc>
          <w:tcPr>
            <w:tcW w:type="dxa" w:w="32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9条有效轨迹、610轮决策、428次GPT调用</w:t>
            </w:r>
          </w:p>
        </w:tc>
        <w:tc>
          <w:tcPr>
            <w:tcW w:type="dxa" w:w="498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罐子Hybrid每轮18.82s，其中GPT约14.37s。每轮审核带来显著等待，本批成功Hybrid均放行Student。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bowl同seed补测</w:t>
            </w:r>
          </w:p>
        </w:tc>
        <w:tc>
          <w:tcPr>
            <w:tcW w:type="dxa" w:w="321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Astra平均336.11s，Sol medium 547.09s，Sol ultra 600.63s</w:t>
            </w:r>
          </w:p>
        </w:tc>
        <w:tc>
          <w:tcPr>
            <w:tcW w:type="dxa" w:w="498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整集效率同时受单次等待与轮数影响。每组5集，不构成普遍模型排名。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RPent正式120集</w:t>
            </w:r>
          </w:p>
        </w:tc>
        <w:tc>
          <w:tcPr>
            <w:tcW w:type="dxa" w:w="32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SDK非工具43.3%，动作执行合计44.3%</w:t>
            </w:r>
          </w:p>
        </w:tc>
        <w:tc>
          <w:tcPr>
            <w:tcW w:type="dxa" w:w="498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高层调用链路与执行侧共同占据大头。SDK区间包含请求、重试与编排。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RPent独立深度8集</w:t>
            </w:r>
          </w:p>
        </w:tc>
        <w:tc>
          <w:tcPr>
            <w:tcW w:type="dxa" w:w="321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π handler占1.81%，原语内渲染占40.05%</w:t>
            </w:r>
          </w:p>
        </w:tc>
        <w:tc>
          <w:tcPr>
            <w:tcW w:type="dxa" w:w="498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单独加速π前向对当前整集收益有限，局部控制实时性仍需另行检查。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DeepSeek细粒度实验</w:t>
            </w:r>
          </w:p>
        </w:tc>
        <w:tc>
          <w:tcPr>
            <w:tcW w:type="dxa" w:w="321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v5平均TTFT1.82s、thinking窗口3.14s、decode窗口1.28s</w:t>
            </w:r>
          </w:p>
        </w:tc>
        <w:tc>
          <w:tcPr>
            <w:tcW w:type="dxa" w:w="498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同局不同轮次的瓶颈不同，均值必须结合长尾与上下文分析。</w:t>
            </w:r>
          </w:p>
        </w:tc>
      </w:tr>
    </w:tbl>
    <w:p>
      <w:pPr>
        <w:spacing w:after="0"/>
      </w:pPr>
    </w:p>
    <w:p>
      <w:pPr>
        <w:pStyle w:val="Heading2"/>
      </w:pPr>
      <w:r>
        <w:t>对优化方向的判断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</w:r>
      <w:r>
        <w:rPr>
          <w:rFonts w:ascii="Arial" w:hAnsi="Arial" w:eastAsia="Hiragino Sans GB"/>
          <w:b/>
          <w:color w:val="000000"/>
        </w:rPr>
        <w:t>单次耗时和调用轮数必须联合优化。</w:t>
      </w:r>
      <w:r>
        <w:rPr>
          <w:rFonts w:ascii="Arial" w:hAnsi="Arial" w:eastAsia="Hiragino Sans GB"/>
          <w:b w:val="0"/>
          <w:color w:val="000000"/>
        </w:rPr>
        <w:t xml:space="preserve"> 请求变快可能伴随更多恢复或重复动作；减少调用也可能使状态陈旧。比较方案时同时记录整集耗时、累计模型等待、请求数、全部重试成本和任务结果。〔E3，S1、S6–S8〕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low think调整单次推理预算，JEV改变部分决策的承担者，Astra/JEV与VLA的分工改变调用频率和执行连续性。三类改动可组合，但不能直接相加提速比例。现阶段保留候选路线，通过固定请求和闭环任务两层实验比较。〔E3，设计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MT反馈thinking由4.6s降至1.4s，阶段降幅69.6%。这是用户转述的最新实验结果，按E4独立记录。模型、样本量和阶段时钟尚未归档，因此不将其与历史DeepSeek结果合并，也不外推为整集降幅。〔E4，S16；计算E3〕</w:t>
      </w:r>
    </w:p>
    <w:p>
      <w:pPr>
        <w:pStyle w:val="Heading1"/>
        <w:pageBreakBefore/>
      </w:pPr>
      <w:r>
        <w:t>1 评价指标与统一时间边界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以整集任务时间T_episode检验实际收益，以累计高层请求等待T_request和逻辑调用数N解释推理成本。串行链路可写为T_episode = N × 平均逻辑请求等待 + 工具执行并集 + 其他独占开销。一次逻辑请求的等待应包含其重试与重连；并行或嵌套阶段按关键路径和区间并集记账。〔E3，方法〕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810"/>
        <w:gridCol w:w="3456"/>
      </w:tblGrid>
      <w:tr>
        <w:trPr>
          <w:cantSplit/>
          <w:tblHeader/>
        </w:trPr>
        <w:tc>
          <w:tcPr>
            <w:tcW w:type="dxa" w:w="187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1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本报告采用的解释</w:t>
            </w:r>
          </w:p>
        </w:tc>
        <w:tc>
          <w:tcPr>
            <w:tcW w:type="dxa" w:w="345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不能直接替代的量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TTFT</w:t>
            </w:r>
          </w:p>
        </w:tc>
        <w:tc>
          <w:tcPr>
            <w:tcW w:type="dxa" w:w="48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客户端发送/代理入口至首输出事件，按各源定义标记首SSE或首非空输出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纯prefill或纯排队时间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首输出前子阶段</w:t>
            </w:r>
          </w:p>
        </w:tc>
        <w:tc>
          <w:tcPr>
            <w:tcW w:type="dxa" w:w="481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代理准备、请求发送、到响应头、响应头到首输出等可观测区间</w:t>
            </w:r>
          </w:p>
        </w:tc>
        <w:tc>
          <w:tcPr>
            <w:tcW w:type="dxa" w:w="345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服务端GPU/NPU kernel计算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可见thinking窗口</w:t>
            </w:r>
          </w:p>
        </w:tc>
        <w:tc>
          <w:tcPr>
            <w:tcW w:type="dxa" w:w="48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源报告中首输出事件到首正文/工具输出的时间窗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完整hidden thinking或全部reasoning计算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正文/工具decode窗口</w:t>
            </w:r>
          </w:p>
        </w:tc>
        <w:tc>
          <w:tcPr>
            <w:tcW w:type="dxa" w:w="481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首正文/工具参数至响应结束的可见区间</w:t>
            </w:r>
          </w:p>
        </w:tc>
        <w:tc>
          <w:tcPr>
            <w:tcW w:type="dxa" w:w="345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服务端逐token时钟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token分摊阶段</w:t>
            </w:r>
          </w:p>
        </w:tc>
        <w:tc>
          <w:tcPr>
            <w:tcW w:type="dxa" w:w="48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按reasoning与其他输出token占比分摊生成区间，明确标为估算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独立计时的thinking/decode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TPOT</w:t>
            </w:r>
          </w:p>
        </w:tc>
        <w:tc>
          <w:tcPr>
            <w:tcW w:type="dxa" w:w="481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生成窗口与输出token数的派生值，保留源报告分母和聚合方式</w:t>
            </w:r>
          </w:p>
        </w:tc>
        <w:tc>
          <w:tcPr>
            <w:tcW w:type="dxa" w:w="345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逐token延迟分布或系统吞吐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动作原语 / π handler</w:t>
            </w:r>
          </w:p>
        </w:tc>
        <w:tc>
          <w:tcPr>
            <w:tcW w:type="dxa" w:w="48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父级原语含动作与观测，handler含网络内部阶段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纯前向或所有控制时间</w:t>
            </w:r>
          </w:p>
        </w:tc>
      </w:tr>
    </w:tbl>
    <w:p>
      <w:pPr>
        <w:spacing w:after="0"/>
      </w:pPr>
    </w:p>
    <w:p>
      <w:pPr>
        <w:pStyle w:val="Heading2"/>
      </w:pPr>
      <w:r>
        <w:t>质量与可比性约束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比较速度时固定任务、初态、成功谓词、预算与工具接口。全部配对任务都报告结果，失败与基础设施异常分别记账。共同成功子集可用于解释时间变化，同时保留全量成功率和消耗，避免选择性展示。现有小样本不能证明成功率统计等价。〔E3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thinking与正文/工具参数在服务端均属于token生成；本文将二者分开是为了定位可见输出成本。TTFT、thinking、decode只有定义互斥、时钟一致时才能求和，父子span不得叠加。〔E3〕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证据等级：E1为源码行号，E2为配置，E3为报告记载或推断，E4为未复核转述。本文重述既有实验报告的数据标E3；“实测窗口”描述源报告方法，不代表本次重新运行了实验。</w:t>
      </w:r>
    </w:p>
    <w:p>
      <w:pPr>
        <w:pStyle w:val="Heading1"/>
        <w:pageBreakBefore/>
      </w:pPr>
      <w:r>
        <w:t>2 已完成实验全景与证据分工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448"/>
        <w:gridCol w:w="2520"/>
        <w:gridCol w:w="3125"/>
      </w:tblGrid>
      <w:tr>
        <w:trPr>
          <w:cantSplit/>
          <w:tblHeader/>
        </w:trPr>
        <w:tc>
          <w:tcPr>
            <w:tcW w:type="dxa" w:w="204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实验集合</w:t>
            </w:r>
          </w:p>
        </w:tc>
        <w:tc>
          <w:tcPr>
            <w:tcW w:type="dxa" w:w="244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完成范围</w:t>
            </w:r>
          </w:p>
        </w:tc>
        <w:tc>
          <w:tcPr>
            <w:tcW w:type="dxa" w:w="252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比较变量</w:t>
            </w:r>
          </w:p>
        </w:tc>
        <w:tc>
          <w:tcPr>
            <w:tcW w:type="dxa" w:w="312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主要证据用途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GPT-as-Policy LIBERO v2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3任务×3路线，9回合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Direct / Student / Hybrid</w:t>
            </w:r>
          </w:p>
        </w:tc>
        <w:tc>
          <w:tcPr>
            <w:tcW w:type="dxa" w:w="312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决策轮数、请求阶段、π与环境开销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bowl原四批</w:t>
            </w:r>
          </w:p>
        </w:tc>
        <w:tc>
          <w:tcPr>
            <w:tcW w:type="dxa" w:w="24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Astra5，其他各20</w:t>
            </w:r>
          </w:p>
        </w:tc>
        <w:tc>
          <w:tcPr>
            <w:tcW w:type="dxa" w:w="25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四模型，接入/并发不完全一致</w:t>
            </w:r>
          </w:p>
        </w:tc>
        <w:tc>
          <w:tcPr>
            <w:tcW w:type="dxa" w:w="312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早期完成能力与等待现象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bowl同seed补测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4组×5 seed，20回合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 medium、Sol medium/ultra、Luna max</w:t>
            </w:r>
          </w:p>
        </w:tc>
        <w:tc>
          <w:tcPr>
            <w:tcW w:type="dxa" w:w="312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同seed整集耗时和轮数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RPent正式评测</w:t>
            </w:r>
          </w:p>
        </w:tc>
        <w:tc>
          <w:tcPr>
            <w:tcW w:type="dxa" w:w="24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2模型×3套件×20，120集</w:t>
            </w:r>
          </w:p>
        </w:tc>
        <w:tc>
          <w:tcPr>
            <w:tcW w:type="dxa" w:w="25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 / Sol medium</w:t>
            </w:r>
          </w:p>
        </w:tc>
        <w:tc>
          <w:tcPr>
            <w:tcW w:type="dxa" w:w="312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整体结果与互斥时间账本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RPent深度计时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2场景×2模型×2 seed，8集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独立插桩补测</w:t>
            </w:r>
          </w:p>
        </w:tc>
        <w:tc>
          <w:tcPr>
            <w:tcW w:type="dxa" w:w="312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render、physics、π子阶段及请求尝试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DeepSeek两场景</w:t>
            </w:r>
          </w:p>
        </w:tc>
        <w:tc>
          <w:tcPr>
            <w:tcW w:type="dxa" w:w="24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原8集与流式8集分开</w:t>
            </w:r>
          </w:p>
        </w:tc>
        <w:tc>
          <w:tcPr>
            <w:tcW w:type="dxa" w:w="25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medium / none</w:t>
            </w:r>
          </w:p>
        </w:tc>
        <w:tc>
          <w:tcPr>
            <w:tcW w:type="dxa" w:w="312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档位、TTFT、token分摊与任务结果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DeepSeek v5单局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15轮，182.5s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Files API、流式代理等组合</w:t>
            </w:r>
          </w:p>
        </w:tc>
        <w:tc>
          <w:tcPr>
            <w:tcW w:type="dxa" w:w="312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逐轮请求、输出窗口、payload/cache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Files API专项</w:t>
            </w:r>
          </w:p>
        </w:tc>
        <w:tc>
          <w:tcPr>
            <w:tcW w:type="dxa" w:w="24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11轮，153.1s</w:t>
            </w:r>
          </w:p>
        </w:tc>
        <w:tc>
          <w:tcPr>
            <w:tcW w:type="dxa" w:w="25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文件引用及输入策略</w:t>
            </w:r>
          </w:p>
        </w:tc>
        <w:tc>
          <w:tcPr>
            <w:tcW w:type="dxa" w:w="312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独立优化尝试，部分时间为估算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后续审计新主例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15请求，205.3s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新的流式分阶段记录</w:t>
            </w:r>
          </w:p>
        </w:tc>
        <w:tc>
          <w:tcPr>
            <w:tcW w:type="dxa" w:w="312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prep、headers、首输出与生成窗口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MT low think</w:t>
            </w:r>
          </w:p>
        </w:tc>
        <w:tc>
          <w:tcPr>
            <w:tcW w:type="dxa" w:w="24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样本量未提供</w:t>
            </w:r>
          </w:p>
        </w:tc>
        <w:tc>
          <w:tcPr>
            <w:tcW w:type="dxa" w:w="25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thinking 4.6s至1.4s</w:t>
            </w:r>
          </w:p>
        </w:tc>
        <w:tc>
          <w:tcPr>
            <w:tcW w:type="dxa" w:w="312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最新阶段反馈，E4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RPent正式120集给出总体时间结构，深度8集解释执行侧内部组成，DeepSeek补充请求链路与输出阶段。不同任务和批次各自保留分母，不将独立集合拼接成一个逐步优化的实验序列。〔E3，S5–S11〕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9/17 MuJoCo与昇腾文档属于路线计划，RoboTwin2.0与π0.5资料属于选型调研。JEV、异频VLA及本地NPU后续方案列为候选设计，其计划样本不计入已完成实验量。〔E3，S2、S9、S12–S15〕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来源S1–S16。正式结果与补测分开；目录日期、文件名日期与文内版本不一致时，以报告文内版本及实验标识确定集合。</w:t>
      </w:r>
    </w:p>
    <w:p>
      <w:pPr>
        <w:pStyle w:val="Heading1"/>
        <w:pageBreakBefore/>
      </w:pPr>
      <w:r>
        <w:t>3 GPT-as-Policy：轮数与单轮成本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三任务各比较Direct、Student、Hybrid，Astra使用medium，Student为π0.5。九回合共610轮决策、3008控制步、428次GPT调用。每格仅init0一条轨迹，部分运行并发，因此这些数值用于解释已观察轨迹，不构成隔离吞吐基准。〔E3，S1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2"/>
        <w:gridCol w:w="1483"/>
        <w:gridCol w:w="907"/>
        <w:gridCol w:w="1037"/>
        <w:gridCol w:w="2088"/>
        <w:gridCol w:w="2981"/>
      </w:tblGrid>
      <w:tr>
        <w:trPr>
          <w:cantSplit/>
          <w:tblHeader/>
        </w:trPr>
        <w:tc>
          <w:tcPr>
            <w:tcW w:type="dxa" w:w="164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48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907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037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决策轮</w:t>
            </w:r>
          </w:p>
        </w:tc>
        <w:tc>
          <w:tcPr>
            <w:tcW w:type="dxa" w:w="208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整轮均值s</w:t>
            </w:r>
          </w:p>
        </w:tc>
        <w:tc>
          <w:tcPr>
            <w:tcW w:type="dxa" w:w="2981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episode s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两罐入篮</w:t>
            </w:r>
          </w:p>
        </w:tc>
        <w:tc>
          <w:tcPr>
            <w:tcW w:type="dxa" w:w="148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direct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成功</w:t>
            </w:r>
          </w:p>
        </w:tc>
        <w:tc>
          <w:tcPr>
            <w:tcW w:type="dxa" w:w="103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97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14.41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1428.97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两罐入篮</w:t>
            </w:r>
          </w:p>
        </w:tc>
        <w:tc>
          <w:tcPr>
            <w:tcW w:type="dxa" w:w="148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9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成功</w:t>
            </w:r>
          </w:p>
        </w:tc>
        <w:tc>
          <w:tcPr>
            <w:tcW w:type="dxa" w:w="103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18.82</w:t>
            </w:r>
          </w:p>
        </w:tc>
        <w:tc>
          <w:tcPr>
            <w:tcW w:type="dxa" w:w="29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991.09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两罐入篮</w:t>
            </w:r>
          </w:p>
        </w:tc>
        <w:tc>
          <w:tcPr>
            <w:tcW w:type="dxa" w:w="148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成功</w:t>
            </w:r>
          </w:p>
        </w:tc>
        <w:tc>
          <w:tcPr>
            <w:tcW w:type="dxa" w:w="103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52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4.20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248.71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微波炉</w:t>
            </w:r>
          </w:p>
        </w:tc>
        <w:tc>
          <w:tcPr>
            <w:tcW w:type="dxa" w:w="148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direct</w:t>
            </w:r>
          </w:p>
        </w:tc>
        <w:tc>
          <w:tcPr>
            <w:tcW w:type="dxa" w:w="9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失败</w:t>
            </w:r>
          </w:p>
        </w:tc>
        <w:tc>
          <w:tcPr>
            <w:tcW w:type="dxa" w:w="103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105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17.36</w:t>
            </w:r>
          </w:p>
        </w:tc>
        <w:tc>
          <w:tcPr>
            <w:tcW w:type="dxa" w:w="29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1848.50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微波炉</w:t>
            </w:r>
          </w:p>
        </w:tc>
        <w:tc>
          <w:tcPr>
            <w:tcW w:type="dxa" w:w="148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成功</w:t>
            </w:r>
          </w:p>
        </w:tc>
        <w:tc>
          <w:tcPr>
            <w:tcW w:type="dxa" w:w="103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3.41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262.34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底层抽屉</w:t>
            </w:r>
          </w:p>
        </w:tc>
        <w:tc>
          <w:tcPr>
            <w:tcW w:type="dxa" w:w="148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direct</w:t>
            </w:r>
          </w:p>
        </w:tc>
        <w:tc>
          <w:tcPr>
            <w:tcW w:type="dxa" w:w="9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失败</w:t>
            </w:r>
          </w:p>
        </w:tc>
        <w:tc>
          <w:tcPr>
            <w:tcW w:type="dxa" w:w="103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19.11</w:t>
            </w:r>
          </w:p>
        </w:tc>
        <w:tc>
          <w:tcPr>
            <w:tcW w:type="dxa" w:w="29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1254.40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底层抽屉</w:t>
            </w:r>
          </w:p>
        </w:tc>
        <w:tc>
          <w:tcPr>
            <w:tcW w:type="dxa" w:w="148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失败</w:t>
            </w:r>
          </w:p>
        </w:tc>
        <w:tc>
          <w:tcPr>
            <w:tcW w:type="dxa" w:w="103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22.43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1377.62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底层抽屉</w:t>
            </w:r>
          </w:p>
        </w:tc>
        <w:tc>
          <w:tcPr>
            <w:tcW w:type="dxa" w:w="148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student</w:t>
            </w:r>
          </w:p>
        </w:tc>
        <w:tc>
          <w:tcPr>
            <w:tcW w:type="dxa" w:w="9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失败</w:t>
            </w:r>
          </w:p>
        </w:tc>
        <w:tc>
          <w:tcPr>
            <w:tcW w:type="dxa" w:w="103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29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296.02</w:t>
            </w:r>
          </w:p>
        </w:tc>
      </w:tr>
      <w:tr>
        <w:trPr>
          <w:cantSplit/>
        </w:trPr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微波炉</w:t>
            </w:r>
          </w:p>
        </w:tc>
        <w:tc>
          <w:tcPr>
            <w:tcW w:type="dxa" w:w="148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9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成功</w:t>
            </w:r>
          </w:p>
        </w:tc>
        <w:tc>
          <w:tcPr>
            <w:tcW w:type="dxa" w:w="103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51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19.65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1026.64</w:t>
            </w:r>
          </w:p>
        </w:tc>
      </w:tr>
    </w:tbl>
    <w:p>
      <w:pPr>
        <w:spacing w:after="0"/>
      </w:pPr>
    </w:p>
    <w:p>
      <w:pPr>
        <w:pStyle w:val="Heading2"/>
      </w:pPr>
      <w:r>
        <w:t>轮数减少与单轮变慢可能同时发生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两罐任务Hybrid只有51轮，Direct为97轮，但Hybrid整轮均值18.82s，高于Direct的14.41s。Student同任务52轮、均值4.20s。对一条任务轨迹的效率判断，必须同时查看轮数和每轮等待。〔E3，S1〕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成功的两条Hybrid轨迹均为51次放行Student，未展示GPT接管带来的成功改善；抽屉Hybrid接管13次仍失败。π随机状态未配对，微波炉Hybrid含补跑，不能把轮数差直接归因于GPT纠错。〔E3，S1〕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整轮均值对应决策循环，episode还包含初始化等边界外成本。不能用整轮均值乘轮数后替换原始episode值，也不能把仿真动作时长当墙钟耗时。〔E3〕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Direct直接给控制目标，Student执行VLA候选，Hybrid在候选后等待GPT审核。来源S1 v1.9，9/29。</w:t>
      </w:r>
    </w:p>
    <w:p>
      <w:pPr>
        <w:pStyle w:val="Heading1"/>
        <w:pageBreakBefore/>
      </w:pPr>
      <w:r>
        <w:t>3.1 GPT-as-Policy：请求与执行阶段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5"/>
        <w:gridCol w:w="1397"/>
        <w:gridCol w:w="1685"/>
        <w:gridCol w:w="1685"/>
        <w:gridCol w:w="1944"/>
        <w:gridCol w:w="1742"/>
      </w:tblGrid>
      <w:tr>
        <w:trPr>
          <w:cantSplit/>
          <w:tblHeader/>
        </w:trPr>
        <w:tc>
          <w:tcPr>
            <w:tcW w:type="dxa" w:w="168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397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路线</w:t>
            </w:r>
          </w:p>
        </w:tc>
        <w:tc>
          <w:tcPr>
            <w:tcW w:type="dxa" w:w="168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请求s</w:t>
            </w:r>
          </w:p>
        </w:tc>
        <w:tc>
          <w:tcPr>
            <w:tcW w:type="dxa" w:w="168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TTFT s</w:t>
            </w:r>
          </w:p>
        </w:tc>
        <w:tc>
          <w:tcPr>
            <w:tcW w:type="dxa" w:w="194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可见窗口s</w:t>
            </w:r>
          </w:p>
        </w:tc>
        <w:tc>
          <w:tcPr>
            <w:tcW w:type="dxa" w:w="174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TPOT估算</w:t>
              <w:br/>
              <w:t>ms/token</w:t>
            </w:r>
          </w:p>
        </w:tc>
      </w:tr>
      <w:tr>
        <w:trPr>
          <w:cantSplit/>
        </w:trPr>
        <w:tc>
          <w:tcPr>
            <w:tcW w:type="dxa" w:w="1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两罐入篮</w:t>
            </w:r>
          </w:p>
        </w:tc>
        <w:tc>
          <w:tcPr>
            <w:tcW w:type="dxa" w:w="139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direct</w:t>
            </w:r>
          </w:p>
        </w:tc>
        <w:tc>
          <w:tcPr>
            <w:tcW w:type="dxa" w:w="1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10.82</w:t>
            </w:r>
          </w:p>
        </w:tc>
        <w:tc>
          <w:tcPr>
            <w:tcW w:type="dxa" w:w="1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7.34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3.16</w:t>
            </w:r>
          </w:p>
        </w:tc>
        <w:tc>
          <w:tcPr>
            <w:tcW w:type="dxa" w:w="1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25.5</w:t>
            </w:r>
          </w:p>
        </w:tc>
      </w:tr>
      <w:tr>
        <w:trPr>
          <w:cantSplit/>
        </w:trPr>
        <w:tc>
          <w:tcPr>
            <w:tcW w:type="dxa" w:w="16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两罐入篮</w:t>
            </w:r>
          </w:p>
        </w:tc>
        <w:tc>
          <w:tcPr>
            <w:tcW w:type="dxa" w:w="139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16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14.37</w:t>
            </w:r>
          </w:p>
        </w:tc>
        <w:tc>
          <w:tcPr>
            <w:tcW w:type="dxa" w:w="16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4.45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9.62</w:t>
            </w:r>
          </w:p>
        </w:tc>
        <w:tc>
          <w:tcPr>
            <w:tcW w:type="dxa" w:w="17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29.1</w:t>
            </w:r>
          </w:p>
        </w:tc>
      </w:tr>
      <w:tr>
        <w:trPr>
          <w:cantSplit/>
        </w:trPr>
        <w:tc>
          <w:tcPr>
            <w:tcW w:type="dxa" w:w="1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微波炉</w:t>
            </w:r>
          </w:p>
        </w:tc>
        <w:tc>
          <w:tcPr>
            <w:tcW w:type="dxa" w:w="139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direct</w:t>
            </w:r>
          </w:p>
        </w:tc>
        <w:tc>
          <w:tcPr>
            <w:tcW w:type="dxa" w:w="1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10.55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3.20</w:t>
            </w:r>
          </w:p>
        </w:tc>
        <w:tc>
          <w:tcPr>
            <w:tcW w:type="dxa" w:w="1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26.9</w:t>
            </w:r>
          </w:p>
        </w:tc>
      </w:tr>
      <w:tr>
        <w:trPr>
          <w:cantSplit/>
        </w:trPr>
        <w:tc>
          <w:tcPr>
            <w:tcW w:type="dxa" w:w="16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底层抽屉</w:t>
            </w:r>
          </w:p>
        </w:tc>
        <w:tc>
          <w:tcPr>
            <w:tcW w:type="dxa" w:w="139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direct</w:t>
            </w:r>
          </w:p>
        </w:tc>
        <w:tc>
          <w:tcPr>
            <w:tcW w:type="dxa" w:w="16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15.55</w:t>
            </w:r>
          </w:p>
        </w:tc>
        <w:tc>
          <w:tcPr>
            <w:tcW w:type="dxa" w:w="16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12.08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3.02</w:t>
            </w:r>
          </w:p>
        </w:tc>
        <w:tc>
          <w:tcPr>
            <w:tcW w:type="dxa" w:w="17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24.8</w:t>
            </w:r>
          </w:p>
        </w:tc>
      </w:tr>
      <w:tr>
        <w:trPr>
          <w:cantSplit/>
        </w:trPr>
        <w:tc>
          <w:tcPr>
            <w:tcW w:type="dxa" w:w="1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底层抽屉</w:t>
            </w:r>
          </w:p>
        </w:tc>
        <w:tc>
          <w:tcPr>
            <w:tcW w:type="dxa" w:w="139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1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18.02</w:t>
            </w:r>
          </w:p>
        </w:tc>
        <w:tc>
          <w:tcPr>
            <w:tcW w:type="dxa" w:w="16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8.15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9.34</w:t>
            </w:r>
          </w:p>
        </w:tc>
        <w:tc>
          <w:tcPr>
            <w:tcW w:type="dxa" w:w="1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28.4</w:t>
            </w:r>
          </w:p>
        </w:tc>
      </w:tr>
      <w:tr>
        <w:trPr>
          <w:cantSplit/>
        </w:trPr>
        <w:tc>
          <w:tcPr>
            <w:tcW w:type="dxa" w:w="16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微波炉</w:t>
            </w:r>
          </w:p>
        </w:tc>
        <w:tc>
          <w:tcPr>
            <w:tcW w:type="dxa" w:w="139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16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16.15</w:t>
            </w:r>
          </w:p>
        </w:tc>
        <w:tc>
          <w:tcPr>
            <w:tcW w:type="dxa" w:w="16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6.15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9.52</w:t>
            </w:r>
          </w:p>
        </w:tc>
        <w:tc>
          <w:tcPr>
            <w:tcW w:type="dxa" w:w="17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28.4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按请求统计均值。可见窗口为首至末非空JSON分片，含传输/缓冲；请求总时长另含收尾。thinking时钟未独立提供。〔E3，S1〕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2"/>
        <w:gridCol w:w="1800"/>
        <w:gridCol w:w="1800"/>
        <w:gridCol w:w="1656"/>
        <w:gridCol w:w="1800"/>
      </w:tblGrid>
      <w:tr>
        <w:trPr>
          <w:cantSplit/>
          <w:tblHeader/>
        </w:trPr>
        <w:tc>
          <w:tcPr>
            <w:tcW w:type="dxa" w:w="308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任务/路线</w:t>
            </w:r>
          </w:p>
        </w:tc>
        <w:tc>
          <w:tcPr>
            <w:tcW w:type="dxa" w:w="180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π含同步s</w:t>
            </w:r>
          </w:p>
        </w:tc>
        <w:tc>
          <w:tcPr>
            <w:tcW w:type="dxa" w:w="180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渲染读回s</w:t>
            </w:r>
          </w:p>
        </w:tc>
        <w:tc>
          <w:tcPr>
            <w:tcW w:type="dxa" w:w="165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物理s</w:t>
            </w:r>
          </w:p>
        </w:tc>
        <w:tc>
          <w:tcPr>
            <w:tcW w:type="dxa" w:w="180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环境墙钟s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两罐入篮/direct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2.71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0.054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3.00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两罐入篮/hybrid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0.53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2.94</w:t>
            </w:r>
          </w:p>
        </w:tc>
        <w:tc>
          <w:tcPr>
            <w:tcW w:type="dxa" w:w="165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0.046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3.20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两罐入篮/student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0.55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2.77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0.052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3.05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微波炉/direct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2.27</w:t>
            </w:r>
          </w:p>
        </w:tc>
        <w:tc>
          <w:tcPr>
            <w:tcW w:type="dxa" w:w="165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0.028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2.48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微波炉/student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0.53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2.20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0.035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2.42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底层抽屉/direct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2.89</w:t>
            </w:r>
          </w:p>
        </w:tc>
        <w:tc>
          <w:tcPr>
            <w:tcW w:type="dxa" w:w="165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0.041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3.13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底层抽屉/hybrid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0.51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3.07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0.042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3.32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底层抽屉/student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0.53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3.10</w:t>
            </w:r>
          </w:p>
        </w:tc>
        <w:tc>
          <w:tcPr>
            <w:tcW w:type="dxa" w:w="165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0.041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3.35</w:t>
            </w:r>
          </w:p>
        </w:tc>
      </w:tr>
      <w:tr>
        <w:trPr>
          <w:cantSplit/>
        </w:trPr>
        <w:tc>
          <w:tcPr>
            <w:tcW w:type="dxa" w:w="308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微波炉/hybrid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0.51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2.24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0.033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2.46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罐子Hybrid的TTFT4.455s低于Direct7.340s，但可见输出窗口9.618s高于3.155s，最终请求反而更长。可见输出估计均值约331.84对124.39 tokens/turn，说明首输出快不能替代完整结果快。该对照不能单独归因thinking。〔E3，S1，计算〕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Student没有GPT请求，TTFT和TPOT记为不适用。GPT-as-Policy的TPOT采用逐轮可见窗口/(输出−reasoning−1)，再取均值，与DeepSeek总输出口径分开。缺失thinking时钟不由token数反推为实测。〔E3〕</w:t>
      </w:r>
    </w:p>
    <w:p>
      <w:pPr>
        <w:pStyle w:val="Heading1"/>
        <w:pageBreakBefore/>
      </w:pPr>
      <w:r>
        <w:t>4 bowl：同seed效率与质量约束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9/23补测使用seed2005–2009串行运行，每组5集。最大20次LLM调用、900控制步，等待决策时物理暂停。此组保留整集runner墙钟、决策轮数和任务结果，不将墙钟除轮数冒充单次LLM请求时间。〔E3，S3、S4〕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1872"/>
        <w:gridCol w:w="2232"/>
        <w:gridCol w:w="2650"/>
      </w:tblGrid>
      <w:tr>
        <w:trPr>
          <w:cantSplit/>
          <w:tblHeader/>
        </w:trPr>
        <w:tc>
          <w:tcPr>
            <w:tcW w:type="dxa" w:w="338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模型/档位</w:t>
            </w:r>
          </w:p>
        </w:tc>
        <w:tc>
          <w:tcPr>
            <w:tcW w:type="dxa" w:w="187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自动入碗</w:t>
            </w:r>
          </w:p>
        </w:tc>
        <w:tc>
          <w:tcPr>
            <w:tcW w:type="dxa" w:w="223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平均轮数</w:t>
            </w:r>
          </w:p>
        </w:tc>
        <w:tc>
          <w:tcPr>
            <w:tcW w:type="dxa" w:w="265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平均墙钟s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Astra medium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5/5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16.0</w:t>
            </w:r>
          </w:p>
        </w:tc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336.11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Sol medium</w:t>
            </w:r>
          </w:p>
        </w:tc>
        <w:tc>
          <w:tcPr>
            <w:tcW w:type="dxa" w:w="187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2/5</w:t>
            </w:r>
          </w:p>
        </w:tc>
        <w:tc>
          <w:tcPr>
            <w:tcW w:type="dxa" w:w="223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18.2</w:t>
            </w:r>
          </w:p>
        </w:tc>
        <w:tc>
          <w:tcPr>
            <w:tcW w:type="dxa" w:w="265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547.09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Sol ultra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3/5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17.6</w:t>
            </w:r>
          </w:p>
        </w:tc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600.63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Luna max</w:t>
            </w:r>
          </w:p>
        </w:tc>
        <w:tc>
          <w:tcPr>
            <w:tcW w:type="dxa" w:w="187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0/5</w:t>
            </w:r>
          </w:p>
        </w:tc>
        <w:tc>
          <w:tcPr>
            <w:tcW w:type="dxa" w:w="223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19.6</w:t>
            </w:r>
          </w:p>
        </w:tc>
        <w:tc>
          <w:tcPr>
            <w:tcW w:type="dxa" w:w="265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1969.76</w:t>
            </w:r>
          </w:p>
        </w:tc>
      </w:tr>
    </w:tbl>
    <w:p>
      <w:pPr>
        <w:spacing w:after="0"/>
      </w:pPr>
    </w:p>
    <w:p>
      <w:pPr>
        <w:pStyle w:val="Heading2"/>
      </w:pPr>
      <w:r>
        <w:t>主要性能发现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Sol ultra比medium整集均值更长，但轮数略少，本批需要联合考察档位、轨迹和轮数。两档成功seed并非单向包含，不能从3/5与2/5断言提升档位总能提高完成质量。〔E3，S3、S4〕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自动入碗与稳定放置有边界差异，成功录像存在stage3–4边界。质量约束必须冻结相同终止谓词，并在需要时补充稳定放置确认。不能把不同验收标准的快慢作为方案优劣。〔E3，S3〕</w:t>
      </w:r>
    </w:p>
    <w:p>
      <w:pPr>
        <w:pStyle w:val="Heading2"/>
      </w:pPr>
      <w:r>
        <w:t>可获取指标与缺项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66"/>
        <w:gridCol w:w="3312"/>
        <w:gridCol w:w="3859"/>
      </w:tblGrid>
      <w:tr>
        <w:trPr>
          <w:cantSplit/>
          <w:tblHeader/>
        </w:trPr>
        <w:tc>
          <w:tcPr>
            <w:tcW w:type="dxa" w:w="296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1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同seed补测</w:t>
            </w:r>
          </w:p>
        </w:tc>
        <w:tc>
          <w:tcPr>
            <w:tcW w:type="dxa" w:w="385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轮数、runner墙钟、控制步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报告提供</w:t>
            </w:r>
          </w:p>
        </w:tc>
        <w:tc>
          <w:tcPr>
            <w:tcW w:type="dxa" w:w="385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按各模型/档位分别展示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请求TTFT、TPOT、thinking/decode</w:t>
            </w:r>
          </w:p>
        </w:tc>
        <w:tc>
          <w:tcPr>
            <w:tcW w:type="dxa" w:w="331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该补测未提供分段</w:t>
            </w:r>
          </w:p>
        </w:tc>
        <w:tc>
          <w:tcPr>
            <w:tcW w:type="dxa" w:w="385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保留未测，不用整集残差补齐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原四批单次等待与等待占比</w:t>
            </w:r>
          </w:p>
        </w:tc>
        <w:tc>
          <w:tcPr>
            <w:tcW w:type="dxa" w:w="33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另有摘要，统计子集未单独明确</w:t>
            </w:r>
          </w:p>
        </w:tc>
        <w:tc>
          <w:tcPr>
            <w:tcW w:type="dxa" w:w="385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单独标注来源及分母边界，避免混入补测</w:t>
            </w:r>
          </w:p>
        </w:tc>
      </w:tr>
      <w:tr>
        <w:trPr>
          <w:cantSplit/>
        </w:trPr>
        <w:tc>
          <w:tcPr>
            <w:tcW w:type="dxa" w:w="296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原四批自动入碗</w:t>
            </w:r>
          </w:p>
        </w:tc>
        <w:tc>
          <w:tcPr>
            <w:tcW w:type="dxa" w:w="331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Astra5/5、GLM0/20、DS1/20、Qwen4/20</w:t>
            </w:r>
          </w:p>
        </w:tc>
        <w:tc>
          <w:tcPr>
            <w:tcW w:type="dxa" w:w="385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接入、worker、并发与档位不同，仅作背景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耗时优化应守住闭环质量。更短thinking若导致定位误判、抓持判断失误或更多恢复，就可能增加整集时间。bowl为这一约束提供背景，不能把其模型结果直接移植到RPent或真机双臂。〔E3，S3〕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S3 v1.2更新至9/23；S4 v1.1包含模型身份更正。模型展示标签与实际派发身份分开审定。</w:t>
      </w:r>
    </w:p>
    <w:p>
      <w:pPr>
        <w:pStyle w:val="Heading1"/>
        <w:pageBreakBefore/>
      </w:pPr>
      <w:r>
        <w:t>5 RPent：120集整体耗时与长尾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Astra与Sol均为medium，各60集，三套件各20集。120集成功99集，Astra50/60，Sol49/60。以下耗时包含该集合中的失败和连接等待，描述实际运行成本。〔E3，S5〕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1469"/>
        <w:gridCol w:w="1469"/>
        <w:gridCol w:w="2520"/>
        <w:gridCol w:w="2520"/>
      </w:tblGrid>
      <w:tr>
        <w:trPr>
          <w:cantSplit/>
          <w:tblHeader/>
        </w:trPr>
        <w:tc>
          <w:tcPr>
            <w:tcW w:type="dxa" w:w="216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套件</w:t>
            </w:r>
          </w:p>
        </w:tc>
        <w:tc>
          <w:tcPr>
            <w:tcW w:type="dxa" w:w="146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Astra成功</w:t>
            </w:r>
          </w:p>
        </w:tc>
        <w:tc>
          <w:tcPr>
            <w:tcW w:type="dxa" w:w="146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Sol成功</w:t>
            </w:r>
          </w:p>
        </w:tc>
        <w:tc>
          <w:tcPr>
            <w:tcW w:type="dxa" w:w="252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Astra均值/中位s</w:t>
            </w:r>
          </w:p>
        </w:tc>
        <w:tc>
          <w:tcPr>
            <w:tcW w:type="dxa" w:w="252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Sol均值/中位s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Spatial Task</w:t>
            </w:r>
          </w:p>
        </w:tc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19/20</w:t>
            </w:r>
          </w:p>
        </w:tc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17/20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787.4 / 676.8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1248.6 / 811.6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Spatial Swap</w:t>
            </w:r>
          </w:p>
        </w:tc>
        <w:tc>
          <w:tcPr>
            <w:tcW w:type="dxa" w:w="146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20/20</w:t>
            </w:r>
          </w:p>
        </w:tc>
        <w:tc>
          <w:tcPr>
            <w:tcW w:type="dxa" w:w="146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20/20</w:t>
            </w:r>
          </w:p>
        </w:tc>
        <w:tc>
          <w:tcPr>
            <w:tcW w:type="dxa" w:w="25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586.9 / 560.0</w:t>
            </w:r>
          </w:p>
        </w:tc>
        <w:tc>
          <w:tcPr>
            <w:tcW w:type="dxa" w:w="25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943.7 / 828.9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Long Swap</w:t>
            </w:r>
          </w:p>
        </w:tc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11/20</w:t>
            </w:r>
          </w:p>
        </w:tc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12/20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973.7 / 919.5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1630.1 / 1332.8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584"/>
        <w:gridCol w:w="2506"/>
        <w:gridCol w:w="4090"/>
      </w:tblGrid>
      <w:tr>
        <w:trPr>
          <w:cantSplit/>
          <w:tblHeader/>
        </w:trPr>
        <w:tc>
          <w:tcPr>
            <w:tcW w:type="dxa" w:w="195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总体量</w:t>
            </w:r>
          </w:p>
        </w:tc>
        <w:tc>
          <w:tcPr>
            <w:tcW w:type="dxa" w:w="158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Astra</w:t>
            </w:r>
          </w:p>
        </w:tc>
        <w:tc>
          <w:tcPr>
            <w:tcW w:type="dxa" w:w="250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Sol</w:t>
            </w:r>
          </w:p>
        </w:tc>
        <w:tc>
          <w:tcPr>
            <w:tcW w:type="dxa" w:w="409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episode累计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13.04h</w:t>
            </w:r>
          </w:p>
        </w:tc>
        <w:tc>
          <w:tcPr>
            <w:tcW w:type="dxa" w:w="250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21.24h</w:t>
            </w:r>
          </w:p>
        </w:tc>
        <w:tc>
          <w:tcPr>
            <w:tcW w:type="dxa" w:w="409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两线合计约34.28h工作量，非并行实验日历时间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成功数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50/60</w:t>
            </w:r>
          </w:p>
        </w:tc>
        <w:tc>
          <w:tcPr>
            <w:tcW w:type="dxa" w:w="250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49/60</w:t>
            </w:r>
          </w:p>
        </w:tc>
        <w:tc>
          <w:tcPr>
            <w:tcW w:type="dxa" w:w="409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总体相近，不能据此证明统计等价</w:t>
            </w:r>
          </w:p>
        </w:tc>
      </w:tr>
      <w:tr>
        <w:trPr>
          <w:cantSplit/>
        </w:trPr>
        <w:tc>
          <w:tcPr>
            <w:tcW w:type="dxa" w:w="195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明显长尾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按套件查看</w:t>
            </w:r>
          </w:p>
        </w:tc>
        <w:tc>
          <w:tcPr>
            <w:tcW w:type="dxa" w:w="250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Long Swap一集5348.4s</w:t>
            </w:r>
          </w:p>
        </w:tc>
        <w:tc>
          <w:tcPr>
            <w:tcW w:type="dxa" w:w="409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该轨迹包含连接中断等待，不全是模型计算</w:t>
            </w:r>
          </w:p>
        </w:tc>
      </w:tr>
    </w:tbl>
    <w:p>
      <w:pPr>
        <w:spacing w:after="0"/>
      </w:pPr>
    </w:p>
    <w:p>
      <w:pPr>
        <w:pStyle w:val="Heading2"/>
      </w:pPr>
      <w:r>
        <w:t>为什么同时报告均值与中位数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Sol Spatial Task均值1248.6s，中位811.6s，差距提示长尾对平均完成时间有明显影响。只看最快成功案例会漏掉连接等待、重复执行和异常恢复；只看总均值又难以判断典型请求或典型任务的表现。〔E3，S5〕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正式集合先回答整体性能，再由深度补测定位子阶段。120集没有全链路独立的服务端prefill或hidden thinking时钟，因此不能从均值差推断芯片吞吐或纯思考速度差。〔E3，S5、S6〕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模型比较应同时固定接入与编排条件。后续可以单列基础设施等待与任务内恢复，但已发生的等待仍要进入运行总成本，不能在快慢结论中悄然排除。〔E3〕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来源S5正式120集。冷启动/加载与episode内成本的区别见下一节。</w:t>
      </w:r>
    </w:p>
    <w:p>
      <w:pPr>
        <w:pStyle w:val="Heading1"/>
        <w:pageBreakBefore/>
      </w:pPr>
      <w:r>
        <w:t>5.1 RPent：互斥时间账本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3"/>
        <w:gridCol w:w="1627"/>
        <w:gridCol w:w="1584"/>
        <w:gridCol w:w="4723"/>
      </w:tblGrid>
      <w:tr>
        <w:trPr>
          <w:cantSplit/>
          <w:tblHeader/>
        </w:trPr>
        <w:tc>
          <w:tcPr>
            <w:tcW w:type="dxa" w:w="220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时间桶</w:t>
            </w:r>
          </w:p>
        </w:tc>
        <w:tc>
          <w:tcPr>
            <w:tcW w:type="dxa" w:w="1627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累计s</w:t>
            </w:r>
          </w:p>
        </w:tc>
        <w:tc>
          <w:tcPr>
            <w:tcW w:type="dxa" w:w="158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占episode</w:t>
            </w:r>
          </w:p>
        </w:tc>
        <w:tc>
          <w:tcPr>
            <w:tcW w:type="dxa" w:w="472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实际包含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非π动作原语</w:t>
            </w:r>
          </w:p>
        </w:tc>
        <w:tc>
          <w:tcPr>
            <w:tcW w:type="dxa" w:w="162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45327.6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36.7%</w:t>
            </w:r>
          </w:p>
        </w:tc>
        <w:tc>
          <w:tcPr>
            <w:tcW w:type="dxa" w:w="472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控制、环境step、动作内观测等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π动作原语</w:t>
            </w:r>
          </w:p>
        </w:tc>
        <w:tc>
          <w:tcPr>
            <w:tcW w:type="dxa" w:w="162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9367.1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7.6%</w:t>
            </w:r>
          </w:p>
        </w:tc>
        <w:tc>
          <w:tcPr>
            <w:tcW w:type="dxa" w:w="472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模型请求、动作chunk执行与往返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工具附加</w:t>
            </w:r>
          </w:p>
        </w:tc>
        <w:tc>
          <w:tcPr>
            <w:tcW w:type="dxa" w:w="162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12429.8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10.1%</w:t>
            </w:r>
          </w:p>
        </w:tc>
        <w:tc>
          <w:tcPr>
            <w:tcW w:type="dxa" w:w="472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工具外围、采集与协议开销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SDK非工具时段</w:t>
            </w:r>
          </w:p>
        </w:tc>
        <w:tc>
          <w:tcPr>
            <w:tcW w:type="dxa" w:w="162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53394.0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43.3%</w:t>
            </w:r>
          </w:p>
        </w:tc>
        <w:tc>
          <w:tcPr>
            <w:tcW w:type="dxa" w:w="472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请求、输出、网络/排队、重试与编排混合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SDK外壳</w:t>
            </w:r>
          </w:p>
        </w:tc>
        <w:tc>
          <w:tcPr>
            <w:tcW w:type="dxa" w:w="162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2889.9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2.3%</w:t>
            </w:r>
          </w:p>
        </w:tc>
        <w:tc>
          <w:tcPr>
            <w:tcW w:type="dxa" w:w="472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episode内启动收尾等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162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123408.4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472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约34.28h，VLA加载5.78h另计</w:t>
            </w:r>
          </w:p>
        </w:tc>
      </w:tr>
    </w:tbl>
    <w:p>
      <w:pPr>
        <w:spacing w:after="0"/>
      </w:pP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355080" cy="1588770"/>
            <wp:docPr id="1" name="Picture 1" descr="图1　120集互斥时间桶。按S6已报告秒数复算占比，显示值有舍入。〔E3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ent_buck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58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图1　120集互斥时间桶。按S6已报告秒数复算占比，显示值有舍入。〔E3〕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</w:r>
      <w:r>
        <w:rPr>
          <w:rFonts w:ascii="Arial" w:hAnsi="Arial" w:eastAsia="Hiragino Sans GB"/>
          <w:b/>
          <w:color w:val="000000"/>
        </w:rPr>
        <w:t>高层链路等待与动作执行并重。</w:t>
      </w:r>
      <w:r>
        <w:rPr>
          <w:rFonts w:ascii="Arial" w:hAnsi="Arial" w:eastAsia="Hiragino Sans GB"/>
          <w:b w:val="0"/>
          <w:color w:val="000000"/>
        </w:rPr>
        <w:t xml:space="preserve"> SDK非工具43.3%，两类动作合计44.3%。前者不能全部改名为thinking，后者也不能全部改名为纯物理或纯VLA推理。定位优化对象需要继续拆分。〔E3，S6〕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π动作原语只占7.6%。固定轨迹且其他时间完全不变，即便该整桶清零，总加速上限约1.082倍；纯模型前向只占整桶的一部分，因此其整集收益上限更低。这个计算用于判断预算，不是实现收益。〔E3，条件计算〕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5052条usage通知去重为5014个计量响应；它既不是全部agent消息数，也不保证覆盖全部真实传输尝试。不得用这个计数无条件反推单次模型延迟。</w:t>
      </w:r>
    </w:p>
    <w:p>
      <w:pPr>
        <w:pStyle w:val="Heading1"/>
        <w:pageBreakBefore/>
      </w:pPr>
      <w:r>
        <w:t>6 RPent：深度计时与π内部阶段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独立深度8集为t0/t9×Astra/Sol×seed0/1，成功3/8，其中t0为3/4，t9为0/4。episode累计10965.30s。插桩补测的任务分布与运行条件独立于正式120集。〔E3，S7〕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09"/>
        <w:gridCol w:w="1512"/>
        <w:gridCol w:w="1728"/>
        <w:gridCol w:w="3989"/>
      </w:tblGrid>
      <w:tr>
        <w:trPr>
          <w:cantSplit/>
          <w:tblHeader/>
        </w:trPr>
        <w:tc>
          <w:tcPr>
            <w:tcW w:type="dxa" w:w="290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51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累计s</w:t>
            </w:r>
          </w:p>
        </w:tc>
        <w:tc>
          <w:tcPr>
            <w:tcW w:type="dxa" w:w="172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episode占比</w:t>
            </w:r>
          </w:p>
        </w:tc>
        <w:tc>
          <w:tcPr>
            <w:tcW w:type="dxa" w:w="398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计时层级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原语窗内渲染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4391.18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40.05%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inclusive子阶段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物理step1+step2</w:t>
            </w:r>
          </w:p>
        </w:tc>
        <w:tc>
          <w:tcPr>
            <w:tcW w:type="dxa" w:w="151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121.48</w:t>
            </w:r>
          </w:p>
        </w:tc>
        <w:tc>
          <w:tcPr>
            <w:tcW w:type="dxa" w:w="172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1.11%</w:t>
            </w:r>
          </w:p>
        </w:tc>
        <w:tc>
          <w:tcPr>
            <w:tcW w:type="dxa" w:w="398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physics子阶段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π handler，371次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198.65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1.81%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包含prefix、denoise等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其中prefix</w:t>
            </w:r>
          </w:p>
        </w:tc>
        <w:tc>
          <w:tcPr>
            <w:tcW w:type="dxa" w:w="151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96.19</w:t>
            </w:r>
          </w:p>
        </w:tc>
        <w:tc>
          <w:tcPr>
            <w:tcW w:type="dxa" w:w="172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0.88%</w:t>
            </w:r>
          </w:p>
        </w:tc>
        <w:tc>
          <w:tcPr>
            <w:tcW w:type="dxa" w:w="398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已包含于handler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其中denoise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86.14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0.79%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已包含于handler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完整π动作原语</w:t>
            </w:r>
          </w:p>
        </w:tc>
        <w:tc>
          <w:tcPr>
            <w:tcW w:type="dxa" w:w="151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1110.09</w:t>
            </w:r>
          </w:p>
        </w:tc>
        <w:tc>
          <w:tcPr>
            <w:tcW w:type="dxa" w:w="172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10.12%</w:t>
            </w:r>
          </w:p>
        </w:tc>
        <w:tc>
          <w:tcPr>
            <w:tcW w:type="dxa" w:w="398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包含handler及动作执行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SDK非工具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4187.54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38.19%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独占父级时间桶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prefix与denoise分别占π handler约48.4%和43.4%，可用于安排局部profile；二者不能再与handler相加。handler均值约535ms/次，由累计198.65s除371次派生，不能直接与不同探针条件的384ms前向基线比较。〔E3，S7，计算〕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假设handler全部处于关键路径且可加速一倍，固定轨迹最多节省约99.33s，占这8集总耗时0.91%。因此当前整集优化需要同时处理高层等待与重复执行，局部推理优化则应关注实时控制窗口。〔E3，条件计算〕</w:t>
      </w:r>
    </w:p>
    <w:p>
      <w:pPr>
        <w:pStyle w:val="Heading2"/>
      </w:pPr>
      <w:r>
        <w:t>仿真边界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原报告将渲染排除出后续优化目标。扣除已测原语窗渲染后得到辅助量6574.12s，SDK非工具占其63.7%。该辅助量不等于真机时间，真机仍有相机、控制器、通信和验证开销。〔E3，S7〕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仅4个SAM调用能匹配client/server，不把共享服务全部活动计入本批。各阶段有包含关系，表格不能纵向求和。</w:t>
      </w:r>
    </w:p>
    <w:p>
      <w:pPr>
        <w:pStyle w:val="Heading1"/>
        <w:pageBreakBefore/>
      </w:pPr>
      <w:r>
        <w:t>7 RPent：轮数、重试与恢复成本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93"/>
        <w:gridCol w:w="3110"/>
        <w:gridCol w:w="4334"/>
      </w:tblGrid>
      <w:tr>
        <w:trPr>
          <w:cantSplit/>
          <w:tblHeader/>
        </w:trPr>
        <w:tc>
          <w:tcPr>
            <w:tcW w:type="dxa" w:w="269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观察项</w:t>
            </w:r>
          </w:p>
        </w:tc>
        <w:tc>
          <w:tcPr>
            <w:tcW w:type="dxa" w:w="311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记录值</w:t>
            </w:r>
          </w:p>
        </w:tc>
        <w:tc>
          <w:tcPr>
            <w:tcW w:type="dxa" w:w="433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对性能分析的意义</w:t>
            </w:r>
          </w:p>
        </w:tc>
      </w:tr>
      <w:tr>
        <w:trPr>
          <w:cantSplit/>
        </w:trPr>
        <w:tc>
          <w:tcPr>
            <w:tcW w:type="dxa" w:w="269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逻辑调用与完整响应</w:t>
            </w:r>
          </w:p>
        </w:tc>
        <w:tc>
          <w:tcPr>
            <w:tcW w:type="dxa" w:w="31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448次</w:t>
            </w:r>
          </w:p>
        </w:tc>
        <w:tc>
          <w:tcPr>
            <w:tcW w:type="dxa" w:w="433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一个逻辑调用可经历多个传输attempt</w:t>
            </w:r>
          </w:p>
        </w:tc>
      </w:tr>
      <w:tr>
        <w:trPr>
          <w:cantSplit/>
        </w:trPr>
        <w:tc>
          <w:tcPr>
            <w:tcW w:type="dxa" w:w="269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传输尝试</w:t>
            </w:r>
          </w:p>
        </w:tc>
        <w:tc>
          <w:tcPr>
            <w:tcW w:type="dxa" w:w="311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473次</w:t>
            </w:r>
          </w:p>
        </w:tc>
        <w:tc>
          <w:tcPr>
            <w:tcW w:type="dxa" w:w="433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比逻辑调用多25次，不能全部视为可删除浪费</w:t>
            </w:r>
          </w:p>
        </w:tc>
      </w:tr>
      <w:tr>
        <w:trPr>
          <w:cantSplit/>
        </w:trPr>
        <w:tc>
          <w:tcPr>
            <w:tcW w:type="dxa" w:w="269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Sol t0/seed1恢复段</w:t>
            </w:r>
          </w:p>
        </w:tc>
        <w:tc>
          <w:tcPr>
            <w:tcW w:type="dxa" w:w="31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562.94s，含渲染447.54s</w:t>
            </w:r>
          </w:p>
        </w:tc>
        <w:tc>
          <w:tcPr>
            <w:tcW w:type="dxa" w:w="433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非渲染剩余115.40s，恢复影响多个阶段</w:t>
            </w:r>
          </w:p>
        </w:tc>
      </w:tr>
      <w:tr>
        <w:trPr>
          <w:cantSplit/>
        </w:trPr>
        <w:tc>
          <w:tcPr>
            <w:tcW w:type="dxa" w:w="269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Sol t9/seed1恢复段</w:t>
            </w:r>
          </w:p>
        </w:tc>
        <w:tc>
          <w:tcPr>
            <w:tcW w:type="dxa" w:w="311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156.22s，含渲染119.61s</w:t>
            </w:r>
          </w:p>
        </w:tc>
        <w:tc>
          <w:tcPr>
            <w:tcW w:type="dxa" w:w="433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非渲染剩余36.61s</w:t>
            </w:r>
          </w:p>
        </w:tc>
      </w:tr>
      <w:tr>
        <w:trPr>
          <w:cantSplit/>
        </w:trPr>
        <w:tc>
          <w:tcPr>
            <w:tcW w:type="dxa" w:w="269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被排除SAM OOM尝试</w:t>
            </w:r>
          </w:p>
        </w:tc>
        <w:tc>
          <w:tcPr>
            <w:tcW w:type="dxa" w:w="311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2个，episode累计3205.20s</w:t>
            </w:r>
          </w:p>
        </w:tc>
        <w:tc>
          <w:tcPr>
            <w:tcW w:type="dxa" w:w="433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不进正式8集分母，但属于已发生复现成本</w:t>
            </w:r>
          </w:p>
        </w:tc>
      </w:tr>
    </w:tbl>
    <w:p>
      <w:pPr>
        <w:spacing w:after="0"/>
      </w:pPr>
    </w:p>
    <w:p>
      <w:pPr>
        <w:pStyle w:val="Heading2"/>
      </w:pPr>
      <w:r>
        <w:t>决策轮数必须解释调用用途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一次高层调用可能用于读取说明、观察环境、定位、选择技能、恢复、写审计或结束。v5的15轮中就包含前期资料读取和末尾审计。总请求数不能直接等同机器人动作次数，应按用途标记，再判断哪些调用可以合并、缓存或移到任务外。〔E3，S7、S10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减少一轮可能同时省去请求等待、工具调用和后续状态整理，也可能因缺少反馈增加失败。不能把某段恢复总时长全部视为可删除收益。已有数据尚不足以给出全批“无效轮次占比”，因此不制作未经证据支持的浪费占比图。〔E3〕</w:t>
      </w:r>
    </w:p>
    <w:p>
      <w:pPr>
        <w:pStyle w:val="Heading2"/>
      </w:pPr>
      <w:r>
        <w:t>可比较的改动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50"/>
        <w:gridCol w:w="3499"/>
        <w:gridCol w:w="3888"/>
      </w:tblGrid>
      <w:tr>
        <w:trPr>
          <w:cantSplit/>
          <w:tblHeader/>
        </w:trPr>
        <w:tc>
          <w:tcPr>
            <w:tcW w:type="dxa" w:w="275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改动</w:t>
            </w:r>
          </w:p>
        </w:tc>
        <w:tc>
          <w:tcPr>
            <w:tcW w:type="dxa" w:w="349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希望减少的成本</w:t>
            </w:r>
          </w:p>
        </w:tc>
        <w:tc>
          <w:tcPr>
            <w:tcW w:type="dxa" w:w="388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质量检查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任务前预载稳定指南</w:t>
            </w:r>
          </w:p>
        </w:tc>
        <w:tc>
          <w:tcPr>
            <w:tcW w:type="dxa" w:w="349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重复读取与启动请求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状态和规则版本一致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阶段结束后统一输出审计</w:t>
            </w:r>
          </w:p>
        </w:tc>
        <w:tc>
          <w:tcPr>
            <w:tcW w:type="dxa" w:w="349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任务内长文本输出</w:t>
            </w:r>
          </w:p>
        </w:tc>
        <w:tc>
          <w:tcPr>
            <w:tcW w:type="dxa" w:w="38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任务审计完整，可复现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进展检查与有限恢复</w:t>
            </w:r>
          </w:p>
        </w:tc>
        <w:tc>
          <w:tcPr>
            <w:tcW w:type="dxa" w:w="349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同一错误动作的重复尝试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抓持/位移/终止判据保持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复合技能与事件触发</w:t>
            </w:r>
          </w:p>
        </w:tc>
        <w:tc>
          <w:tcPr>
            <w:tcW w:type="dxa" w:w="349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细碎大模型往返</w:t>
            </w:r>
          </w:p>
        </w:tc>
        <w:tc>
          <w:tcPr>
            <w:tcW w:type="dxa" w:w="38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内部反馈、停止与回退仍执行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上述是由调用结构提出的候选改动，尚无受控提速结论。请求数、动作步数、额外验证与回退开销必须共同记账。〔E3，设计〕</w:t>
      </w:r>
    </w:p>
    <w:p>
      <w:pPr>
        <w:pStyle w:val="Heading1"/>
        <w:pageBreakBefore/>
      </w:pPr>
      <w:r>
        <w:t>8 DeepSeek：实验集合与计时精度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5"/>
        <w:gridCol w:w="2376"/>
        <w:gridCol w:w="3053"/>
        <w:gridCol w:w="2794"/>
      </w:tblGrid>
      <w:tr>
        <w:trPr>
          <w:cantSplit/>
          <w:tblHeader/>
        </w:trPr>
        <w:tc>
          <w:tcPr>
            <w:tcW w:type="dxa" w:w="191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集合</w:t>
            </w:r>
          </w:p>
        </w:tc>
        <w:tc>
          <w:tcPr>
            <w:tcW w:type="dxa" w:w="237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规模与任务</w:t>
            </w:r>
          </w:p>
        </w:tc>
        <w:tc>
          <w:tcPr>
            <w:tcW w:type="dxa" w:w="305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可用细指标</w:t>
            </w:r>
          </w:p>
        </w:tc>
        <w:tc>
          <w:tcPr>
            <w:tcW w:type="dxa" w:w="279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主要限制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流式medium/none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8集，t0/t9各seed0/1</w:t>
            </w:r>
          </w:p>
        </w:tc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177条有效TTFT/TPOT，阶段token分摊</w:t>
            </w:r>
          </w:p>
        </w:tc>
        <w:tc>
          <w:tcPr>
            <w:tcW w:type="dxa" w:w="27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thinking/decode分摊为估算，含失败请求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v5单局</w:t>
            </w:r>
          </w:p>
        </w:tc>
        <w:tc>
          <w:tcPr>
            <w:tcW w:type="dxa" w:w="237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t2/s0，15轮，182.5s</w:t>
            </w:r>
          </w:p>
        </w:tc>
        <w:tc>
          <w:tcPr>
            <w:tcW w:type="dxa" w:w="305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逐轮TTFT三段、可见thinking/decode、payload、cache</w:t>
            </w:r>
          </w:p>
        </w:tc>
        <w:tc>
          <w:tcPr>
            <w:tcW w:type="dxa" w:w="279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TTFT到首SSE，是否首非空需保留定义边界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Files API专项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t2/s0，11轮，153.1s</w:t>
            </w:r>
          </w:p>
        </w:tc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TTFT、输入体积、token×常数阶段估算</w:t>
            </w:r>
          </w:p>
        </w:tc>
        <w:tc>
          <w:tcPr>
            <w:tcW w:type="dxa" w:w="27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独立实验，计时实现与v5不同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后续审计主例</w:t>
            </w:r>
          </w:p>
        </w:tc>
        <w:tc>
          <w:tcPr>
            <w:tcW w:type="dxa" w:w="237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object_swap t2/s0，15请求，205.3s</w:t>
            </w:r>
          </w:p>
        </w:tc>
        <w:tc>
          <w:tcPr>
            <w:tcW w:type="dxa" w:w="305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prep、响应头、首输出、生成窗口，派生TPOT</w:t>
            </w:r>
          </w:p>
        </w:tc>
        <w:tc>
          <w:tcPr>
            <w:tcW w:type="dxa" w:w="279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与v5同为15请求但不是同一轨迹</w:t>
            </w:r>
          </w:p>
        </w:tc>
      </w:tr>
      <w:tr>
        <w:trPr>
          <w:cantSplit/>
        </w:trPr>
        <w:tc>
          <w:tcPr>
            <w:tcW w:type="dxa" w:w="191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原始两场景8集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另一个独立集合</w:t>
            </w:r>
          </w:p>
        </w:tc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整集/请求/工具等原始口径</w:t>
            </w:r>
          </w:p>
        </w:tc>
        <w:tc>
          <w:tcPr>
            <w:tcW w:type="dxa" w:w="27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不与流式8集合并分母</w:t>
            </w:r>
          </w:p>
        </w:tc>
      </w:tr>
    </w:tbl>
    <w:p>
      <w:pPr>
        <w:spacing w:after="0"/>
      </w:pPr>
    </w:p>
    <w:p>
      <w:pPr>
        <w:pStyle w:val="Heading2"/>
      </w:pPr>
      <w:r>
        <w:t>三个层次的可用数据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第一层为请求总时长、首输出前等待和首输出后窗口。第二层为客户端可见事件分段，例如代理准备、响应头、thinking到正文切换。第三层为token比例或平均速率推算的阶段量。各层均可用于分析，但必须标清测量方法。〔E3，S8、S10、S11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本报告保留“prefill代理”这一解释性概念，但在表中优先写TTFT或客户端剩余区间。没有服务端计算span时，不能从该区间单独确定prefill、排队或算子瓶颈。〔E3〕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客户端统计也能直接指导工程优化：传图高时检验输入复用，生成窗口高时检验输出长度和thinking档位，长历史下等待高时检验上下文策略。每项改动通过固定请求重放隔离链路效果，再通过闭环任务检查总轮数和质量。〔E3，设计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S8 v1.5为后续审计口径；S10/S11保留单局身份。不同实验配置、缓存与轨迹下的总时间不直接作优化前后差。</w:t>
      </w:r>
    </w:p>
    <w:p>
      <w:pPr>
        <w:pStyle w:val="Heading1"/>
        <w:pageBreakBefore/>
      </w:pPr>
      <w:r>
        <w:t>9 DeepSeek v5：典型请求与长尾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53"/>
        <w:gridCol w:w="1627"/>
        <w:gridCol w:w="1656"/>
        <w:gridCol w:w="3802"/>
      </w:tblGrid>
      <w:tr>
        <w:trPr>
          <w:cantSplit/>
          <w:tblHeader/>
        </w:trPr>
        <w:tc>
          <w:tcPr>
            <w:tcW w:type="dxa" w:w="305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627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均值</w:t>
            </w:r>
          </w:p>
        </w:tc>
        <w:tc>
          <w:tcPr>
            <w:tcW w:type="dxa" w:w="165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中位数</w:t>
            </w:r>
          </w:p>
        </w:tc>
        <w:tc>
          <w:tcPr>
            <w:tcW w:type="dxa" w:w="380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最大值/说明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TTFT</w:t>
            </w:r>
          </w:p>
        </w:tc>
        <w:tc>
          <w:tcPr>
            <w:tcW w:type="dxa" w:w="162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约1.817s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1.07s</w:t>
            </w:r>
          </w:p>
        </w:tc>
        <w:tc>
          <w:tcPr>
            <w:tcW w:type="dxa" w:w="380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3.89s，首SSE口径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可见thinking窗口</w:t>
            </w:r>
          </w:p>
        </w:tc>
        <w:tc>
          <w:tcPr>
            <w:tcW w:type="dxa" w:w="162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约3.143s</w:t>
            </w:r>
          </w:p>
        </w:tc>
        <w:tc>
          <w:tcPr>
            <w:tcW w:type="dxa" w:w="165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1.46s</w:t>
            </w:r>
          </w:p>
        </w:tc>
        <w:tc>
          <w:tcPr>
            <w:tcW w:type="dxa" w:w="380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19.96s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正文/工具decode窗口</w:t>
            </w:r>
          </w:p>
        </w:tc>
        <w:tc>
          <w:tcPr>
            <w:tcW w:type="dxa" w:w="162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约1.280s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0.65s</w:t>
            </w:r>
          </w:p>
        </w:tc>
        <w:tc>
          <w:tcPr>
            <w:tcW w:type="dxa" w:w="380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8.94s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请求总耗时</w:t>
            </w:r>
          </w:p>
        </w:tc>
        <w:tc>
          <w:tcPr>
            <w:tcW w:type="dxa" w:w="162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约6.240s</w:t>
            </w:r>
          </w:p>
        </w:tc>
        <w:tc>
          <w:tcPr>
            <w:tcW w:type="dxa" w:w="165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3.50s</w:t>
            </w:r>
          </w:p>
        </w:tc>
        <w:tc>
          <w:tcPr>
            <w:tcW w:type="dxa" w:w="380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24.5s，15次累计约93.6s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TPOT</w:t>
            </w:r>
          </w:p>
        </w:tc>
        <w:tc>
          <w:tcPr>
            <w:tcW w:type="dxa" w:w="162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未单列均值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约4ms/token</w:t>
            </w:r>
          </w:p>
        </w:tc>
        <w:tc>
          <w:tcPr>
            <w:tcW w:type="dxa" w:w="380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报告范围3–5ms，区间派生</w:t>
            </w:r>
          </w:p>
        </w:tc>
      </w:tr>
    </w:tbl>
    <w:p>
      <w:pPr>
        <w:spacing w:after="0"/>
      </w:pP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355080" cy="1934287"/>
            <wp:docPr id="2" name="Picture 2" descr="图2　v5十五轮客户端阶段窗口。第11轮thinking和第14轮正文/工具输出形成不同长尾，舍入使分段之和与请求总值略有差异。〔E3，S10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requ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934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图2　v5十五轮客户端阶段窗口。第11轮thinking和第14轮正文/工具输出形成不同长尾，舍入使分段之和与请求总值略有差异。〔E3，S10〕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第11轮总24.5s，其中TTFT3.73s、thinking19.96s、decode0.86s；reasoning4491 tokens。第14轮总16.5s，其中TTFT3.89s、thinking3.69s、decode8.94s；其他输出2687 tokens。两轮分别由不同生成窗口主导。〔E3，S10〕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均值明显高于中位数，意味着少数长请求影响累计等待。优化报告应同时给均值、p50及长尾例子。15个请求不足以稳定估计跨任务p95，不能据此承诺一般模型延迟。〔E3〕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由源报告已舍入的逐轮表复算。thinking和decode是客户端可见窗口，TPOT不是逐token独立时钟。</w:t>
      </w:r>
    </w:p>
    <w:p>
      <w:pPr>
        <w:pStyle w:val="Heading1"/>
        <w:pageBreakBefore/>
      </w:pPr>
      <w:r>
        <w:t>9.1 DeepSeek v5：逐轮时间与输出规模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224"/>
        <w:gridCol w:w="1224"/>
        <w:gridCol w:w="1296"/>
        <w:gridCol w:w="1181"/>
        <w:gridCol w:w="2333"/>
        <w:gridCol w:w="2232"/>
      </w:tblGrid>
      <w:tr>
        <w:trPr>
          <w:cantSplit/>
          <w:tblHeader/>
        </w:trPr>
        <w:tc>
          <w:tcPr>
            <w:tcW w:type="dxa" w:w="64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轮</w:t>
            </w:r>
          </w:p>
        </w:tc>
        <w:tc>
          <w:tcPr>
            <w:tcW w:type="dxa" w:w="122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TTFT s</w:t>
            </w:r>
          </w:p>
        </w:tc>
        <w:tc>
          <w:tcPr>
            <w:tcW w:type="dxa" w:w="122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think s</w:t>
            </w:r>
          </w:p>
        </w:tc>
        <w:tc>
          <w:tcPr>
            <w:tcW w:type="dxa" w:w="129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decode s</w:t>
            </w:r>
          </w:p>
        </w:tc>
        <w:tc>
          <w:tcPr>
            <w:tcW w:type="dxa" w:w="1181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请求s</w:t>
            </w:r>
          </w:p>
        </w:tc>
        <w:tc>
          <w:tcPr>
            <w:tcW w:type="dxa" w:w="233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reasoning tok</w:t>
            </w:r>
          </w:p>
        </w:tc>
        <w:tc>
          <w:tcPr>
            <w:tcW w:type="dxa" w:w="223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其他tok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0.68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0.5</w:t>
            </w:r>
          </w:p>
        </w:tc>
        <w:tc>
          <w:tcPr>
            <w:tcW w:type="dxa" w:w="11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1.8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174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218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0.84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1.24</w:t>
            </w:r>
          </w:p>
        </w:tc>
        <w:tc>
          <w:tcPr>
            <w:tcW w:type="dxa" w:w="129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0.51</w:t>
            </w:r>
          </w:p>
        </w:tc>
        <w:tc>
          <w:tcPr>
            <w:tcW w:type="dxa" w:w="11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2.6</w:t>
            </w:r>
          </w:p>
        </w:tc>
        <w:tc>
          <w:tcPr>
            <w:tcW w:type="dxa" w:w="233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289</w:t>
            </w:r>
          </w:p>
        </w:tc>
        <w:tc>
          <w:tcPr>
            <w:tcW w:type="dxa" w:w="223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224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0.72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2.12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0.65</w:t>
            </w:r>
          </w:p>
        </w:tc>
        <w:tc>
          <w:tcPr>
            <w:tcW w:type="dxa" w:w="11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3.5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512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254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1.05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1.28</w:t>
            </w:r>
          </w:p>
        </w:tc>
        <w:tc>
          <w:tcPr>
            <w:tcW w:type="dxa" w:w="129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1.22</w:t>
            </w:r>
          </w:p>
        </w:tc>
        <w:tc>
          <w:tcPr>
            <w:tcW w:type="dxa" w:w="11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3.5</w:t>
            </w:r>
          </w:p>
        </w:tc>
        <w:tc>
          <w:tcPr>
            <w:tcW w:type="dxa" w:w="233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312</w:t>
            </w:r>
          </w:p>
        </w:tc>
        <w:tc>
          <w:tcPr>
            <w:tcW w:type="dxa" w:w="223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454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0.82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1.46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0.49</w:t>
            </w:r>
          </w:p>
        </w:tc>
        <w:tc>
          <w:tcPr>
            <w:tcW w:type="dxa" w:w="11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2.8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336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181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0.93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0.55</w:t>
            </w:r>
          </w:p>
        </w:tc>
        <w:tc>
          <w:tcPr>
            <w:tcW w:type="dxa" w:w="129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0.27</w:t>
            </w:r>
          </w:p>
        </w:tc>
        <w:tc>
          <w:tcPr>
            <w:tcW w:type="dxa" w:w="11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1.8</w:t>
            </w:r>
          </w:p>
        </w:tc>
        <w:tc>
          <w:tcPr>
            <w:tcW w:type="dxa" w:w="233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125</w:t>
            </w:r>
          </w:p>
        </w:tc>
        <w:tc>
          <w:tcPr>
            <w:tcW w:type="dxa" w:w="223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124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0.94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0.44</w:t>
            </w:r>
          </w:p>
        </w:tc>
        <w:tc>
          <w:tcPr>
            <w:tcW w:type="dxa" w:w="11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1.4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184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1.37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0.27</w:t>
            </w:r>
          </w:p>
        </w:tc>
        <w:tc>
          <w:tcPr>
            <w:tcW w:type="dxa" w:w="129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0.22</w:t>
            </w:r>
          </w:p>
        </w:tc>
        <w:tc>
          <w:tcPr>
            <w:tcW w:type="dxa" w:w="11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1.9</w:t>
            </w:r>
          </w:p>
        </w:tc>
        <w:tc>
          <w:tcPr>
            <w:tcW w:type="dxa" w:w="233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60</w:t>
            </w:r>
          </w:p>
        </w:tc>
        <w:tc>
          <w:tcPr>
            <w:tcW w:type="dxa" w:w="223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2.95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6.56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1.44</w:t>
            </w:r>
          </w:p>
        </w:tc>
        <w:tc>
          <w:tcPr>
            <w:tcW w:type="dxa" w:w="11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10.9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1572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569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1.07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4.93</w:t>
            </w:r>
          </w:p>
        </w:tc>
        <w:tc>
          <w:tcPr>
            <w:tcW w:type="dxa" w:w="129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0.75</w:t>
            </w:r>
          </w:p>
        </w:tc>
        <w:tc>
          <w:tcPr>
            <w:tcW w:type="dxa" w:w="11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6.7</w:t>
            </w:r>
          </w:p>
        </w:tc>
        <w:tc>
          <w:tcPr>
            <w:tcW w:type="dxa" w:w="233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1174</w:t>
            </w:r>
          </w:p>
        </w:tc>
        <w:tc>
          <w:tcPr>
            <w:tcW w:type="dxa" w:w="223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271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3.73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19.96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0.86</w:t>
            </w:r>
          </w:p>
        </w:tc>
        <w:tc>
          <w:tcPr>
            <w:tcW w:type="dxa" w:w="11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24.5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4491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280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3.73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2.0</w:t>
            </w:r>
          </w:p>
        </w:tc>
        <w:tc>
          <w:tcPr>
            <w:tcW w:type="dxa" w:w="129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0.91</w:t>
            </w:r>
          </w:p>
        </w:tc>
        <w:tc>
          <w:tcPr>
            <w:tcW w:type="dxa" w:w="11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6.6</w:t>
            </w:r>
          </w:p>
        </w:tc>
        <w:tc>
          <w:tcPr>
            <w:tcW w:type="dxa" w:w="233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437</w:t>
            </w:r>
          </w:p>
        </w:tc>
        <w:tc>
          <w:tcPr>
            <w:tcW w:type="dxa" w:w="223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354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2.33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2.38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0.56</w:t>
            </w:r>
          </w:p>
        </w:tc>
        <w:tc>
          <w:tcPr>
            <w:tcW w:type="dxa" w:w="11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5.3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557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187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3.89</w:t>
            </w:r>
          </w:p>
        </w:tc>
        <w:tc>
          <w:tcPr>
            <w:tcW w:type="dxa" w:w="12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3.69</w:t>
            </w:r>
          </w:p>
        </w:tc>
        <w:tc>
          <w:tcPr>
            <w:tcW w:type="dxa" w:w="129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8.94</w:t>
            </w:r>
          </w:p>
        </w:tc>
        <w:tc>
          <w:tcPr>
            <w:tcW w:type="dxa" w:w="11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16.5</w:t>
            </w:r>
          </w:p>
        </w:tc>
        <w:tc>
          <w:tcPr>
            <w:tcW w:type="dxa" w:w="233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890</w:t>
            </w:r>
          </w:p>
        </w:tc>
        <w:tc>
          <w:tcPr>
            <w:tcW w:type="dxa" w:w="223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2687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2.21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0.11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1.44</w:t>
            </w:r>
          </w:p>
        </w:tc>
        <w:tc>
          <w:tcPr>
            <w:tcW w:type="dxa" w:w="11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3.8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429</w:t>
            </w:r>
          </w:p>
        </w:tc>
      </w:tr>
    </w:tbl>
    <w:p>
      <w:pPr>
        <w:spacing w:after="0"/>
      </w:pPr>
    </w:p>
    <w:p>
      <w:pPr>
        <w:pStyle w:val="Heading2"/>
      </w:pPr>
      <w:r>
        <w:t>累计时间与任务时间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十五次请求累计约93.6s，占182.5s任务墙钟约51.3%。两者差额约88.9s应称工具及其他剩余时间；仅由残差不能证明全部为工具执行。源报告的“去掉thinking后约135s”是在轮数与其他阶段不变下扣除约47.15s的条件估算，未实跑。〔E3，S10，计算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第1–7轮包含读取资料和目录等启动活动，第14轮包含写审计，第15轮为finish。表中的轮次是模型请求轮次，不是15次机械臂运动。启动和收尾请求若被移出任务路径，应同时报告任务内耗时与完整运行成本。〔E3，S10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thinking窗口的减少既可来自更少tokens，也可来自生成速度变化。正文/工具输出同理。为了分析具体机制，下一轮应同时记录各类tokens、阶段窗口和每请求TPOT，而不是只比较一个平均延迟。〔E3，设计〕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本表为单局完整15请求性能摘要，不复制逐轮输入输出或隐藏推理内容。TTFT源定义为到首SSE chunk。</w:t>
      </w:r>
    </w:p>
    <w:p>
      <w:pPr>
        <w:pStyle w:val="Heading1"/>
        <w:pageBreakBefore/>
      </w:pPr>
      <w:r>
        <w:t>9.2 DeepSeek v5：输入、缓存与传输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1613"/>
        <w:gridCol w:w="1613"/>
        <w:gridCol w:w="2448"/>
      </w:tblGrid>
      <w:tr>
        <w:trPr>
          <w:cantSplit/>
          <w:tblHeader/>
        </w:trPr>
        <w:tc>
          <w:tcPr>
            <w:tcW w:type="dxa" w:w="446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TTFT客户端分项</w:t>
            </w:r>
          </w:p>
        </w:tc>
        <w:tc>
          <w:tcPr>
            <w:tcW w:type="dxa" w:w="161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均值s</w:t>
            </w:r>
          </w:p>
        </w:tc>
        <w:tc>
          <w:tcPr>
            <w:tcW w:type="dxa" w:w="161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p50 s</w:t>
            </w:r>
          </w:p>
        </w:tc>
        <w:tc>
          <w:tcPr>
            <w:tcW w:type="dxa" w:w="244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范围s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代理传图/准备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约0.663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0.03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0.00–2.26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chat上传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约0.695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0.61</w:t>
            </w:r>
          </w:p>
        </w:tc>
        <w:tc>
          <w:tcPr>
            <w:tcW w:type="dxa" w:w="24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0.36–1.24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源报告服务端剩余区间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约0.460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0.44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0.24–0.76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843"/>
        <w:gridCol w:w="1627"/>
        <w:gridCol w:w="2765"/>
        <w:gridCol w:w="1469"/>
        <w:gridCol w:w="1786"/>
      </w:tblGrid>
      <w:tr>
        <w:trPr>
          <w:cantSplit/>
          <w:tblHeader/>
        </w:trPr>
        <w:tc>
          <w:tcPr>
            <w:tcW w:type="dxa" w:w="64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轮</w:t>
            </w:r>
          </w:p>
        </w:tc>
        <w:tc>
          <w:tcPr>
            <w:tcW w:type="dxa" w:w="184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prompt tok</w:t>
            </w:r>
          </w:p>
        </w:tc>
        <w:tc>
          <w:tcPr>
            <w:tcW w:type="dxa" w:w="1627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新增/总图</w:t>
            </w:r>
          </w:p>
        </w:tc>
        <w:tc>
          <w:tcPr>
            <w:tcW w:type="dxa" w:w="276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请求KB原→转发</w:t>
            </w:r>
          </w:p>
        </w:tc>
        <w:tc>
          <w:tcPr>
            <w:tcW w:type="dxa" w:w="146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cache</w:t>
            </w:r>
          </w:p>
        </w:tc>
        <w:tc>
          <w:tcPr>
            <w:tcW w:type="dxa" w:w="178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TTFT s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13,094</w:t>
            </w:r>
          </w:p>
        </w:tc>
        <w:tc>
          <w:tcPr>
            <w:tcW w:type="dxa" w:w="162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0/0</w:t>
            </w:r>
          </w:p>
        </w:tc>
        <w:tc>
          <w:tcPr>
            <w:tcW w:type="dxa" w:w="276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50→57KB</w:t>
            </w:r>
          </w:p>
        </w:tc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64%</w:t>
            </w:r>
          </w:p>
        </w:tc>
        <w:tc>
          <w:tcPr>
            <w:tcW w:type="dxa" w:w="178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0.68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84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60,306</w:t>
            </w:r>
          </w:p>
        </w:tc>
        <w:tc>
          <w:tcPr>
            <w:tcW w:type="dxa" w:w="162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0/0</w:t>
            </w:r>
          </w:p>
        </w:tc>
        <w:tc>
          <w:tcPr>
            <w:tcW w:type="dxa" w:w="276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214→221KB</w:t>
            </w:r>
          </w:p>
        </w:tc>
        <w:tc>
          <w:tcPr>
            <w:tcW w:type="dxa" w:w="146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64%</w:t>
            </w:r>
          </w:p>
        </w:tc>
        <w:tc>
          <w:tcPr>
            <w:tcW w:type="dxa" w:w="178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1.37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62,344</w:t>
            </w:r>
          </w:p>
        </w:tc>
        <w:tc>
          <w:tcPr>
            <w:tcW w:type="dxa" w:w="162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3/3</w:t>
            </w:r>
          </w:p>
        </w:tc>
        <w:tc>
          <w:tcPr>
            <w:tcW w:type="dxa" w:w="276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2172→223KB</w:t>
            </w:r>
          </w:p>
        </w:tc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97%</w:t>
            </w:r>
          </w:p>
        </w:tc>
        <w:tc>
          <w:tcPr>
            <w:tcW w:type="dxa" w:w="178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2.95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84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69,229</w:t>
            </w:r>
          </w:p>
        </w:tc>
        <w:tc>
          <w:tcPr>
            <w:tcW w:type="dxa" w:w="162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3/6</w:t>
            </w:r>
          </w:p>
        </w:tc>
        <w:tc>
          <w:tcPr>
            <w:tcW w:type="dxa" w:w="276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5820→240KB</w:t>
            </w:r>
          </w:p>
        </w:tc>
        <w:tc>
          <w:tcPr>
            <w:tcW w:type="dxa" w:w="146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96%</w:t>
            </w:r>
          </w:p>
        </w:tc>
        <w:tc>
          <w:tcPr>
            <w:tcW w:type="dxa" w:w="178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3.73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84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81,015</w:t>
            </w:r>
          </w:p>
        </w:tc>
        <w:tc>
          <w:tcPr>
            <w:tcW w:type="dxa" w:w="162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3/13</w:t>
            </w:r>
          </w:p>
        </w:tc>
        <w:tc>
          <w:tcPr>
            <w:tcW w:type="dxa" w:w="276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10105→267KB</w:t>
            </w:r>
          </w:p>
        </w:tc>
        <w:tc>
          <w:tcPr>
            <w:tcW w:type="dxa" w:w="146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97%</w:t>
            </w:r>
          </w:p>
        </w:tc>
        <w:tc>
          <w:tcPr>
            <w:tcW w:type="dxa" w:w="178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3.89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84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84,686</w:t>
            </w:r>
          </w:p>
        </w:tc>
        <w:tc>
          <w:tcPr>
            <w:tcW w:type="dxa" w:w="162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0/13</w:t>
            </w:r>
          </w:p>
        </w:tc>
        <w:tc>
          <w:tcPr>
            <w:tcW w:type="dxa" w:w="276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10118→280KB</w:t>
            </w:r>
          </w:p>
        </w:tc>
        <w:tc>
          <w:tcPr>
            <w:tcW w:type="dxa" w:w="146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78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2.21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新图轮9、11、14的代理传图分别约1.87、2.24、2.26s，说明文件引用并未消除新增图上传。末轮总图保持13张，源表代理准备仍为0.47s，列名不能机械解释成纯图片网络传输。〔E3，S10〕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方案将base64替换为file_id，并同时禁用图片裁剪、保留历史和转换为流式。请求体明显缩小，但这些因素共同变化，不能从一条轨迹证明Files API单因素的端到端收益。文件引用减少请求载荷，也不必然消除服务端视觉计算。〔E3〕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prompt从13094增长至84686 tokens，cache展示值64%–100%。该单局中的剩余区间相对稳定，不足以证明prefill与prompt长度、图像数量无关。表中“prefill吞吐”也不能直接解释为服务端token处理能力。〔E3，S10〕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分项中位数一般不相加为总TTFT中位数。建议固定请求重放时分开新图/复用图、冷/暖缓存，并保持语义、图像和输出预算相同。〔E3，设计〕</w:t>
      </w:r>
    </w:p>
    <w:p>
      <w:pPr>
        <w:pStyle w:val="Heading1"/>
        <w:pageBreakBefore/>
      </w:pPr>
      <w:r>
        <w:t>10 DeepSeek：medium与none闭环对照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09"/>
        <w:gridCol w:w="2088"/>
        <w:gridCol w:w="2088"/>
        <w:gridCol w:w="3053"/>
      </w:tblGrid>
      <w:tr>
        <w:trPr>
          <w:cantSplit/>
          <w:tblHeader/>
        </w:trPr>
        <w:tc>
          <w:tcPr>
            <w:tcW w:type="dxa" w:w="290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共同成功t0</w:t>
            </w:r>
          </w:p>
        </w:tc>
        <w:tc>
          <w:tcPr>
            <w:tcW w:type="dxa" w:w="208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208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none</w:t>
            </w:r>
          </w:p>
        </w:tc>
        <w:tc>
          <w:tcPr>
            <w:tcW w:type="dxa" w:w="305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差异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seed0 episode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1497.8s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1043.1s</w:t>
            </w:r>
          </w:p>
        </w:tc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下降30.4%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seed1 episode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828.9s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805.1s</w:t>
            </w:r>
          </w:p>
        </w:tc>
        <w:tc>
          <w:tcPr>
            <w:tcW w:type="dxa" w:w="305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下降2.9%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episode累计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2326.7s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1848.2s</w:t>
            </w:r>
          </w:p>
        </w:tc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减少478.5s，20.6%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逻辑请求数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57</w:t>
            </w:r>
          </w:p>
        </w:tc>
        <w:tc>
          <w:tcPr>
            <w:tcW w:type="dxa" w:w="305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减少6次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LLM累计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1238.435s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715.819s</w:t>
            </w:r>
          </w:p>
        </w:tc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减少522.616s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TTFT累计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776.094s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607.904s</w:t>
            </w:r>
          </w:p>
        </w:tc>
        <w:tc>
          <w:tcPr>
            <w:tcW w:type="dxa" w:w="305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减少168.190s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thinking估算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352.550s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按输出token比例分摊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其他decode估算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97.379s</w:t>
            </w:r>
          </w:p>
        </w:tc>
        <w:tc>
          <w:tcPr>
            <w:tcW w:type="dxa" w:w="20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107.915s</w:t>
            </w:r>
          </w:p>
        </w:tc>
        <w:tc>
          <w:tcPr>
            <w:tcW w:type="dxa" w:w="305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增加10.536s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失败请求耗时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12.412s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05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单列，无独立阶段数据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medium与none各4集，均在t0两个seed成功，t9两个seed未完成，成功率均2/4。medium的t9发生输出预算异常退出，none虽无该进程异常仍未完成任务。相同小样本成功数不构成质量非劣性证明。〔E3，S8〕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关闭thinking改变了输出、上下文、轮数与动作轨迹，且两档prompt并非逐字相同。累计整集节省478.5s不能全部归因thinking计算。分seed收益差距也表明结果受具体轨迹影响。〔E3，S8〕</w:t>
      </w:r>
    </w:p>
    <w:p>
      <w:pPr>
        <w:pStyle w:val="Heading2"/>
      </w:pPr>
      <w:r>
        <w:t>估算方法与真实时钟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源审计令τ=(请求总时长−TTFT)/输出tokens，再按reasoning与其他token数分摊生成区间。该τ与采用输出tokens−1分母的TPOT分开记录。失败请求没有分段数据时仅保留总时长。〔E3，S8〕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四条成功轨迹共120个逻辑请求、121个attempt；整个流式8集为177个逻辑请求、178个attempt，TTFT/TPOT各177条有效记录。</w:t>
      </w:r>
    </w:p>
    <w:p>
      <w:pPr>
        <w:pStyle w:val="Heading1"/>
        <w:pageBreakBefore/>
      </w:pPr>
      <w:r>
        <w:t>10.1 DeepSeek流式8集：请求分布与输入规模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1526"/>
        <w:gridCol w:w="1526"/>
        <w:gridCol w:w="1613"/>
        <w:gridCol w:w="1613"/>
        <w:gridCol w:w="1555"/>
      </w:tblGrid>
      <w:tr>
        <w:trPr>
          <w:cantSplit/>
          <w:tblHeader/>
        </w:trPr>
        <w:tc>
          <w:tcPr>
            <w:tcW w:type="dxa" w:w="230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场景/档位</w:t>
            </w:r>
          </w:p>
        </w:tc>
        <w:tc>
          <w:tcPr>
            <w:tcW w:type="dxa" w:w="152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请求mean s</w:t>
            </w:r>
          </w:p>
        </w:tc>
        <w:tc>
          <w:tcPr>
            <w:tcW w:type="dxa" w:w="152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请求p50 s</w:t>
            </w:r>
          </w:p>
        </w:tc>
        <w:tc>
          <w:tcPr>
            <w:tcW w:type="dxa" w:w="161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TTFT mean s</w:t>
            </w:r>
          </w:p>
        </w:tc>
        <w:tc>
          <w:tcPr>
            <w:tcW w:type="dxa" w:w="161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TTFT p50 s</w:t>
            </w:r>
          </w:p>
        </w:tc>
        <w:tc>
          <w:tcPr>
            <w:tcW w:type="dxa" w:w="155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TPOT p50</w:t>
              <w:br/>
              <w:t>ms/token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t0_s0/medium</w:t>
            </w:r>
          </w:p>
        </w:tc>
        <w:tc>
          <w:tcPr>
            <w:tcW w:type="dxa" w:w="15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23.19</w:t>
            </w:r>
          </w:p>
        </w:tc>
        <w:tc>
          <w:tcPr>
            <w:tcW w:type="dxa" w:w="15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20.72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13.89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12.50</w:t>
            </w:r>
          </w:p>
        </w:tc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7.309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t0_s1/medium</w:t>
            </w:r>
          </w:p>
        </w:tc>
        <w:tc>
          <w:tcPr>
            <w:tcW w:type="dxa" w:w="152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14.09</w:t>
            </w:r>
          </w:p>
        </w:tc>
        <w:tc>
          <w:tcPr>
            <w:tcW w:type="dxa" w:w="152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13.77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10.08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10.22</w:t>
            </w:r>
          </w:p>
        </w:tc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4.602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t9_s0/medium</w:t>
            </w:r>
          </w:p>
        </w:tc>
        <w:tc>
          <w:tcPr>
            <w:tcW w:type="dxa" w:w="15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14.32</w:t>
            </w:r>
          </w:p>
        </w:tc>
        <w:tc>
          <w:tcPr>
            <w:tcW w:type="dxa" w:w="15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9.79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6.70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5.57</w:t>
            </w:r>
          </w:p>
        </w:tc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4.568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t9_s1/medium</w:t>
            </w:r>
          </w:p>
        </w:tc>
        <w:tc>
          <w:tcPr>
            <w:tcW w:type="dxa" w:w="152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21.64</w:t>
            </w:r>
          </w:p>
        </w:tc>
        <w:tc>
          <w:tcPr>
            <w:tcW w:type="dxa" w:w="152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17.28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7.01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5.16</w:t>
            </w:r>
          </w:p>
        </w:tc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5.393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t0_s0/none</w:t>
            </w:r>
          </w:p>
        </w:tc>
        <w:tc>
          <w:tcPr>
            <w:tcW w:type="dxa" w:w="15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13.86</w:t>
            </w:r>
          </w:p>
        </w:tc>
        <w:tc>
          <w:tcPr>
            <w:tcW w:type="dxa" w:w="15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12.34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11.33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10.39</w:t>
            </w:r>
          </w:p>
        </w:tc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5.183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t0_s1/none</w:t>
            </w:r>
          </w:p>
        </w:tc>
        <w:tc>
          <w:tcPr>
            <w:tcW w:type="dxa" w:w="152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11.00</w:t>
            </w:r>
          </w:p>
        </w:tc>
        <w:tc>
          <w:tcPr>
            <w:tcW w:type="dxa" w:w="152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11.91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9.87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10.67</w:t>
            </w:r>
          </w:p>
        </w:tc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3.526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t9_s0/none</w:t>
            </w:r>
          </w:p>
        </w:tc>
        <w:tc>
          <w:tcPr>
            <w:tcW w:type="dxa" w:w="15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7.60</w:t>
            </w:r>
          </w:p>
        </w:tc>
        <w:tc>
          <w:tcPr>
            <w:tcW w:type="dxa" w:w="152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6.83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5.03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4.81</w:t>
            </w:r>
          </w:p>
        </w:tc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3.282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t9_s1/none</w:t>
            </w:r>
          </w:p>
        </w:tc>
        <w:tc>
          <w:tcPr>
            <w:tcW w:type="dxa" w:w="152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13.95</w:t>
            </w:r>
          </w:p>
        </w:tc>
        <w:tc>
          <w:tcPr>
            <w:tcW w:type="dxa" w:w="152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9.06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7.06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5.76</w:t>
            </w:r>
          </w:p>
        </w:tc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4.455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请求统计按每集传输attempt记录，含失败请求的总时长；TTFT/TPOT仅用有效记录。每集样本不同，不能直接对各行均值作无权重总体平均。〔E3，S8，源表复算〕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1555"/>
        <w:gridCol w:w="1944"/>
        <w:gridCol w:w="1670"/>
        <w:gridCol w:w="1642"/>
        <w:gridCol w:w="1022"/>
      </w:tblGrid>
      <w:tr>
        <w:trPr>
          <w:cantSplit/>
          <w:tblHeader/>
        </w:trPr>
        <w:tc>
          <w:tcPr>
            <w:tcW w:type="dxa" w:w="230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场景/档位</w:t>
            </w:r>
          </w:p>
        </w:tc>
        <w:tc>
          <w:tcPr>
            <w:tcW w:type="dxa" w:w="155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逻辑/attempt</w:t>
            </w:r>
          </w:p>
        </w:tc>
        <w:tc>
          <w:tcPr>
            <w:tcW w:type="dxa" w:w="194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input总tok</w:t>
            </w:r>
          </w:p>
        </w:tc>
        <w:tc>
          <w:tcPr>
            <w:tcW w:type="dxa" w:w="167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reasoning tok</w:t>
            </w:r>
          </w:p>
        </w:tc>
        <w:tc>
          <w:tcPr>
            <w:tcW w:type="dxa" w:w="164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最大输入tok</w:t>
            </w:r>
          </w:p>
        </w:tc>
        <w:tc>
          <w:tcPr>
            <w:tcW w:type="dxa" w:w="102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最大图片数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t0_s0/medium</w:t>
            </w:r>
          </w:p>
        </w:tc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37/37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2,860,042</w:t>
            </w:r>
          </w:p>
        </w:tc>
        <w:tc>
          <w:tcPr>
            <w:tcW w:type="dxa" w:w="167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30,162</w:t>
            </w:r>
          </w:p>
        </w:tc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110,752</w:t>
            </w:r>
          </w:p>
        </w:tc>
        <w:tc>
          <w:tcPr>
            <w:tcW w:type="dxa" w:w="10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t0_s1/medium</w:t>
            </w:r>
          </w:p>
        </w:tc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26/27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1,239,193</w:t>
            </w:r>
          </w:p>
        </w:tc>
        <w:tc>
          <w:tcPr>
            <w:tcW w:type="dxa" w:w="167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15,456</w:t>
            </w:r>
          </w:p>
        </w:tc>
        <w:tc>
          <w:tcPr>
            <w:tcW w:type="dxa" w:w="16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68,807</w:t>
            </w:r>
          </w:p>
        </w:tc>
        <w:tc>
          <w:tcPr>
            <w:tcW w:type="dxa" w:w="102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t9_s0/medium</w:t>
            </w:r>
          </w:p>
        </w:tc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15/15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627,052</w:t>
            </w:r>
          </w:p>
        </w:tc>
        <w:tc>
          <w:tcPr>
            <w:tcW w:type="dxa" w:w="167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17,179</w:t>
            </w:r>
          </w:p>
        </w:tc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67,263</w:t>
            </w:r>
          </w:p>
        </w:tc>
        <w:tc>
          <w:tcPr>
            <w:tcW w:type="dxa" w:w="10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t9_s1/medium</w:t>
            </w:r>
          </w:p>
        </w:tc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11/11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557,028</w:t>
            </w:r>
          </w:p>
        </w:tc>
        <w:tc>
          <w:tcPr>
            <w:tcW w:type="dxa" w:w="167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23,484</w:t>
            </w:r>
          </w:p>
        </w:tc>
        <w:tc>
          <w:tcPr>
            <w:tcW w:type="dxa" w:w="16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81,821</w:t>
            </w:r>
          </w:p>
        </w:tc>
        <w:tc>
          <w:tcPr>
            <w:tcW w:type="dxa" w:w="102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t0_s0/none</w:t>
            </w:r>
          </w:p>
        </w:tc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31/31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1,352,875</w:t>
            </w:r>
          </w:p>
        </w:tc>
        <w:tc>
          <w:tcPr>
            <w:tcW w:type="dxa" w:w="167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62,277</w:t>
            </w:r>
          </w:p>
        </w:tc>
        <w:tc>
          <w:tcPr>
            <w:tcW w:type="dxa" w:w="10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t0_s1/none</w:t>
            </w:r>
          </w:p>
        </w:tc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26/26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1,015,692</w:t>
            </w:r>
          </w:p>
        </w:tc>
        <w:tc>
          <w:tcPr>
            <w:tcW w:type="dxa" w:w="167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6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52,786</w:t>
            </w:r>
          </w:p>
        </w:tc>
        <w:tc>
          <w:tcPr>
            <w:tcW w:type="dxa" w:w="102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t9_s0/none</w:t>
            </w:r>
          </w:p>
        </w:tc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14/14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446,189</w:t>
            </w:r>
          </w:p>
        </w:tc>
        <w:tc>
          <w:tcPr>
            <w:tcW w:type="dxa" w:w="167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6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43,277</w:t>
            </w:r>
          </w:p>
        </w:tc>
        <w:tc>
          <w:tcPr>
            <w:tcW w:type="dxa" w:w="102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t9_s1/none</w:t>
            </w:r>
          </w:p>
        </w:tc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17/17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633,602</w:t>
            </w:r>
          </w:p>
        </w:tc>
        <w:tc>
          <w:tcPr>
            <w:tcW w:type="dxa" w:w="167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6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61,223</w:t>
            </w:r>
          </w:p>
        </w:tc>
        <w:tc>
          <w:tcPr>
            <w:tcW w:type="dxa" w:w="102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14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input总量重复计入每轮携带的历史，不等于唯一任务信息量。reasoning计量为0与可见窗口为0均不证明服务端没有其他内部计算。t9失败和预算退出保留在该表，以便完整描述负载与成本。〔E3〕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原始非流式8集未并入。prep缺失不补0，thinking/decode缺窗口时不强制配平。</w:t>
      </w:r>
    </w:p>
    <w:p>
      <w:pPr>
        <w:pStyle w:val="Heading1"/>
        <w:pageBreakBefore/>
      </w:pPr>
      <w:r>
        <w:t>11 DeepSeek：后续主例的真实客户端分段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审计新增object_swap t2/seed0主例为15请求、205.3s。LLM累计110.534s，其中首输出后88.796s，占80.3%。该轨迹与v5的15轮182.5s分开统计。〔E3，S8〕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1512"/>
        <w:gridCol w:w="1613"/>
        <w:gridCol w:w="3773"/>
      </w:tblGrid>
      <w:tr>
        <w:trPr>
          <w:cantSplit/>
          <w:tblHeader/>
        </w:trPr>
        <w:tc>
          <w:tcPr>
            <w:tcW w:type="dxa" w:w="324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互斥客户端阶段</w:t>
            </w:r>
          </w:p>
        </w:tc>
        <w:tc>
          <w:tcPr>
            <w:tcW w:type="dxa" w:w="151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累计s</w:t>
            </w:r>
          </w:p>
        </w:tc>
        <w:tc>
          <w:tcPr>
            <w:tcW w:type="dxa" w:w="161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占LLM约</w:t>
            </w:r>
          </w:p>
        </w:tc>
        <w:tc>
          <w:tcPr>
            <w:tcW w:type="dxa" w:w="377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代理准备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5.110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4.6%</w:t>
            </w:r>
          </w:p>
        </w:tc>
        <w:tc>
          <w:tcPr>
            <w:tcW w:type="dxa" w:w="377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准备/转发前区间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请求阶段至响应头</w:t>
            </w:r>
          </w:p>
        </w:tc>
        <w:tc>
          <w:tcPr>
            <w:tcW w:type="dxa" w:w="151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9.789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8.9%</w:t>
            </w:r>
          </w:p>
        </w:tc>
        <w:tc>
          <w:tcPr>
            <w:tcW w:type="dxa" w:w="377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含发送与服务等待等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响应头至首输出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6.837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6.2%</w:t>
            </w:r>
          </w:p>
        </w:tc>
        <w:tc>
          <w:tcPr>
            <w:tcW w:type="dxa" w:w="377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首非空输出前的剩余等待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首输出至结束</w:t>
            </w:r>
          </w:p>
        </w:tc>
        <w:tc>
          <w:tcPr>
            <w:tcW w:type="dxa" w:w="151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88.796</w:t>
            </w:r>
          </w:p>
        </w:tc>
        <w:tc>
          <w:tcPr>
            <w:tcW w:type="dxa" w:w="161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80.3%</w:t>
            </w:r>
          </w:p>
        </w:tc>
        <w:tc>
          <w:tcPr>
            <w:tcW w:type="dxa" w:w="377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可见生成与传输区间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110.532</w:t>
            </w:r>
          </w:p>
        </w:tc>
        <w:tc>
          <w:tcPr>
            <w:tcW w:type="dxa" w:w="161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377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与报告总量110.534s相差0.002s舍入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2966"/>
        <w:gridCol w:w="4147"/>
      </w:tblGrid>
      <w:tr>
        <w:trPr>
          <w:cantSplit/>
          <w:tblHeader/>
        </w:trPr>
        <w:tc>
          <w:tcPr>
            <w:tcW w:type="dxa" w:w="302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辅助指标</w:t>
            </w:r>
          </w:p>
        </w:tc>
        <w:tc>
          <w:tcPr>
            <w:tcW w:type="dxa" w:w="296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147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聚合与边界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TTFT累计 / p50</w:t>
            </w:r>
          </w:p>
        </w:tc>
        <w:tc>
          <w:tcPr>
            <w:tcW w:type="dxa" w:w="296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21.739s / 1.270s</w:t>
            </w:r>
          </w:p>
        </w:tc>
        <w:tc>
          <w:tcPr>
            <w:tcW w:type="dxa" w:w="414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首输出前等待，占LLM约19.7%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TPOT p50</w:t>
            </w:r>
          </w:p>
        </w:tc>
        <w:tc>
          <w:tcPr>
            <w:tcW w:type="dxa" w:w="296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3.931ms/token</w:t>
            </w:r>
          </w:p>
        </w:tc>
        <w:tc>
          <w:tcPr>
            <w:tcW w:type="dxa" w:w="414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每请求均值的中位数，分母输出tokens−1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可见thinking窗口</w:t>
            </w:r>
          </w:p>
        </w:tc>
        <w:tc>
          <w:tcPr>
            <w:tcW w:type="dxa" w:w="296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14个非零窗口累计68.663s</w:t>
            </w:r>
          </w:p>
        </w:tc>
        <w:tc>
          <w:tcPr>
            <w:tcW w:type="dxa" w:w="414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另1条为0，共15条；非hidden thinking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对照：流式成功4集</w:t>
            </w:r>
          </w:p>
        </w:tc>
        <w:tc>
          <w:tcPr>
            <w:tcW w:type="dxa" w:w="296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TTFT1383.998s / LLM1954.254s</w:t>
            </w:r>
          </w:p>
        </w:tc>
        <w:tc>
          <w:tcPr>
            <w:tcW w:type="dxa" w:w="414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TTFT占70.8%，属于另一任务集合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同一个模型服务的瓶颈占比会随任务、历史、缓存、输出长度和轨迹变化。一组主要等待首输出，另一组主要耗在首输出后，二者可同时成立。不能把任一单局比例写成DeepSeek的固定性能特征。〔E3，S8〕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此类客户端时间分段适合判断工程改动作用于哪个区间。若要区分服务排队、prefill与芯片执行，还需要服务端span或独立受控测量。〔E3〕</w:t>
      </w:r>
    </w:p>
    <w:p>
      <w:pPr>
        <w:pStyle w:val="Heading1"/>
        <w:pageBreakBefore/>
      </w:pPr>
      <w:r>
        <w:t>12 DeepSeek专项：可比较的观察与收益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1800"/>
        <w:gridCol w:w="3989"/>
        <w:gridCol w:w="2549"/>
      </w:tblGrid>
      <w:tr>
        <w:trPr>
          <w:cantSplit/>
          <w:tblHeader/>
        </w:trPr>
        <w:tc>
          <w:tcPr>
            <w:tcW w:type="dxa" w:w="180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集合</w:t>
            </w:r>
          </w:p>
        </w:tc>
        <w:tc>
          <w:tcPr>
            <w:tcW w:type="dxa" w:w="180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总时间/轮数</w:t>
            </w:r>
          </w:p>
        </w:tc>
        <w:tc>
          <w:tcPr>
            <w:tcW w:type="dxa" w:w="398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请求与阶段指标</w:t>
            </w:r>
          </w:p>
        </w:tc>
        <w:tc>
          <w:tcPr>
            <w:tcW w:type="dxa" w:w="254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可支持的观察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Files API专项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153.1s / 11轮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逐轮表请求均值9.136s、TTFT5.251s；thinking2.136s、decode1.755s为估算</w:t>
            </w:r>
          </w:p>
        </w:tc>
        <w:tc>
          <w:tcPr>
            <w:tcW w:type="dxa" w:w="254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摘要和逐轮表使用不同阶段估算口径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v5单局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182.5s / 15轮</w:t>
            </w:r>
          </w:p>
        </w:tc>
        <w:tc>
          <w:tcPr>
            <w:tcW w:type="dxa" w:w="398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请求均值6.24s；TTFT1.817s、可见think3.143s、decode1.280s</w:t>
            </w:r>
          </w:p>
        </w:tc>
        <w:tc>
          <w:tcPr>
            <w:tcW w:type="dxa" w:w="254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用窗口与逐轮长尾解释时间结构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后续审计主例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205.3s / 15请求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LLM累计110.534s；首输出后88.796s</w:t>
            </w:r>
          </w:p>
        </w:tc>
        <w:tc>
          <w:tcPr>
            <w:tcW w:type="dxa" w:w="254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细分客户端发送到首输出与生成阶段</w:t>
            </w:r>
          </w:p>
        </w:tc>
      </w:tr>
    </w:tbl>
    <w:p>
      <w:pPr>
        <w:spacing w:after="0"/>
      </w:pPr>
    </w:p>
    <w:p>
      <w:pPr>
        <w:pStyle w:val="Heading2"/>
      </w:pPr>
      <w:r>
        <w:t>能够保留的技术信息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Files API概览用3ms/token推得thinking约1.6s、decode约1.3s；11行逐轮表采用约4ms/token的口径，阶段均值为2.136s和1.755s，请求总时长累计100.5s。概览8.2s不是逐轮表均值。本文以逐轮表展示，并保留两套口径的差异。〔E3，S11，复算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Files API局报告3次冷/暖探针约1.45/1.0s，代表该探针条件，不足以把其他请求超出的全部时间解释为排队。文件引用和稳定前缀可能降低重复传输或改善缓存，但仍需同内容重放测量。〔E3，S11〕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v5的Files API、禁裁剪、历史保留和流式转换同时改变；153.1s、182.5s和205.3s分别属于独立轨迹。不能把这三个总时间连成优化前后的曲线，也不能把轮数差直接视为某个开关的收益。〔E3，S8、S10、S11〕</w:t>
      </w:r>
    </w:p>
    <w:p>
      <w:pPr>
        <w:pStyle w:val="Heading2"/>
      </w:pPr>
      <w:r>
        <w:t>候选改动与验证方法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90"/>
        <w:gridCol w:w="3859"/>
        <w:gridCol w:w="3888"/>
      </w:tblGrid>
      <w:tr>
        <w:trPr>
          <w:cantSplit/>
          <w:tblHeader/>
        </w:trPr>
        <w:tc>
          <w:tcPr>
            <w:tcW w:type="dxa" w:w="239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候选改动</w:t>
            </w:r>
          </w:p>
        </w:tc>
        <w:tc>
          <w:tcPr>
            <w:tcW w:type="dxa" w:w="385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固定请求层</w:t>
            </w:r>
          </w:p>
        </w:tc>
        <w:tc>
          <w:tcPr>
            <w:tcW w:type="dxa" w:w="388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闭环任务层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文件引用/内容哈希复用</w:t>
            </w:r>
          </w:p>
        </w:tc>
        <w:tc>
          <w:tcPr>
            <w:tcW w:type="dxa" w:w="385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同图像、同语义、同缓存条件比较prep和TTFT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检查视觉信息、历史完整性与任务质量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精简正文/审计输出</w:t>
            </w:r>
          </w:p>
        </w:tc>
        <w:tc>
          <w:tcPr>
            <w:tcW w:type="dxa" w:w="385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比较非reasoning tokens与生成窗口</w:t>
            </w:r>
          </w:p>
        </w:tc>
        <w:tc>
          <w:tcPr>
            <w:tcW w:type="dxa" w:w="38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保留必要工具参数与审计完整性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稳定前缀/状态摘要</w:t>
            </w:r>
          </w:p>
        </w:tc>
        <w:tc>
          <w:tcPr>
            <w:tcW w:type="dxa" w:w="385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观察实际cache、输入tokens及TTFT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检查历史遗漏导致的恢复与失败</w:t>
            </w:r>
          </w:p>
        </w:tc>
      </w:tr>
      <w:tr>
        <w:trPr>
          <w:cantSplit/>
        </w:trPr>
        <w:tc>
          <w:tcPr>
            <w:tcW w:type="dxa" w:w="239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thinking档位</w:t>
            </w:r>
          </w:p>
        </w:tc>
        <w:tc>
          <w:tcPr>
            <w:tcW w:type="dxa" w:w="385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比较请求窗口、tokens与长尾</w:t>
            </w:r>
          </w:p>
        </w:tc>
        <w:tc>
          <w:tcPr>
            <w:tcW w:type="dxa" w:w="388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检查轮数、动作数及全部attempt消耗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Files API局中“11轮降8轮”“153s降92s”和v5中“去thinking后135s”均属于条件推演，未作为已完成实验收益。</w:t>
      </w:r>
    </w:p>
    <w:p>
      <w:pPr>
        <w:pStyle w:val="Heading1"/>
        <w:pageBreakBefore/>
      </w:pPr>
      <w:r>
        <w:t>13 综合瓶颈：证据与优化作用环节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42"/>
        <w:gridCol w:w="2981"/>
        <w:gridCol w:w="2707"/>
        <w:gridCol w:w="2707"/>
      </w:tblGrid>
      <w:tr>
        <w:trPr>
          <w:cantSplit/>
          <w:tblHeader/>
        </w:trPr>
        <w:tc>
          <w:tcPr>
            <w:tcW w:type="dxa" w:w="174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981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主要证据</w:t>
            </w:r>
          </w:p>
        </w:tc>
        <w:tc>
          <w:tcPr>
            <w:tcW w:type="dxa" w:w="2707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可比较的优化</w:t>
            </w:r>
          </w:p>
        </w:tc>
        <w:tc>
          <w:tcPr>
            <w:tcW w:type="dxa" w:w="2707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当前不能承诺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高层调用链路等待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RPent120 SDK非工具43.3%；GPT罐子Hybrid请求占整轮76.4%</w:t>
            </w:r>
          </w:p>
        </w:tc>
        <w:tc>
          <w:tcPr>
            <w:tcW w:type="dxa" w:w="27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档位、输入复用、输出压缩、选择器替换</w:t>
            </w:r>
          </w:p>
        </w:tc>
        <w:tc>
          <w:tcPr>
            <w:tcW w:type="dxa" w:w="27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全部是thinking或纯prefill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生成窗口长尾</w:t>
            </w:r>
          </w:p>
        </w:tc>
        <w:tc>
          <w:tcPr>
            <w:tcW w:type="dxa" w:w="29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v5第11轮think19.96s，第14轮其他输出8.94s</w:t>
            </w:r>
          </w:p>
        </w:tc>
        <w:tc>
          <w:tcPr>
            <w:tcW w:type="dxa" w:w="27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阶段化thinking预算、减少冗长输出</w:t>
            </w:r>
          </w:p>
        </w:tc>
        <w:tc>
          <w:tcPr>
            <w:tcW w:type="dxa" w:w="27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关思考必然保持轮数和质量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调用与恢复频率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深度8集448逻辑调用/473attempt，恢复跨多个阶段</w:t>
            </w:r>
          </w:p>
        </w:tc>
        <w:tc>
          <w:tcPr>
            <w:tcW w:type="dxa" w:w="27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复合技能、进展检测、事件触发</w:t>
            </w:r>
          </w:p>
        </w:tc>
        <w:tc>
          <w:tcPr>
            <w:tcW w:type="dxa" w:w="27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固定比例的轮次均可删除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执行与观测开销</w:t>
            </w:r>
          </w:p>
        </w:tc>
        <w:tc>
          <w:tcPr>
            <w:tcW w:type="dxa" w:w="2981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RPent120动作44.3%，深8渲染40.05%</w:t>
            </w:r>
          </w:p>
        </w:tc>
        <w:tc>
          <w:tcPr>
            <w:tcW w:type="dxa" w:w="27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减少重复执行，优化技能边界</w:t>
            </w:r>
          </w:p>
        </w:tc>
        <w:tc>
          <w:tcPr>
            <w:tcW w:type="dxa" w:w="27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仿真扣渲染等于真机时间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局部动作实时性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固定帧π探针约384ms，5步20Hz窗口250ms</w:t>
            </w:r>
          </w:p>
        </w:tc>
        <w:tc>
          <w:tcPr>
            <w:tcW w:type="dxa" w:w="27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异步调度、chunk设计、局部profile</w:t>
            </w:r>
          </w:p>
        </w:tc>
        <w:tc>
          <w:tcPr>
            <w:tcW w:type="dxa" w:w="27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前向占整集小就无需优化</w:t>
            </w:r>
          </w:p>
        </w:tc>
      </w:tr>
    </w:tbl>
    <w:p>
      <w:pPr>
        <w:spacing w:after="0"/>
      </w:pPr>
    </w:p>
    <w:p>
      <w:pPr>
        <w:pStyle w:val="Heading2"/>
      </w:pPr>
      <w:r>
        <w:t>为什么单次耗时与轮数必须联合看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令一次逻辑请求平均等待为L、请求数为N、动作与其他独占开销为A，串行近似T=NL+A。单次等待降低r后，只有在新增轮次和额外动作成本没有抵消节省时，整集才会更快。若只考虑请求项，N_new/N_old必须小于1/(1−r)才能保留该项收益。〔E3，条件模型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不同改动的收益可能重叠：减少轮次会同时减少TTFT和生成窗口；压缩历史可能改变缓存与回答；JEV可能需要Astra先生成候选。总收益应通过完整组合实验测量，不能把单因素百分比直接相加。〔E3〕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瓶颈判断分两个层级：当前轨迹时间大头决定整集优化空间，局部deadline决定控制是否连续。两者都要报告，但采用不同验收指标。〔E3〕</w:t>
      </w:r>
    </w:p>
    <w:p>
      <w:pPr>
        <w:pStyle w:val="Heading1"/>
        <w:pageBreakBefore/>
      </w:pPr>
      <w:r>
        <w:t>14 low think：阶段收益与质量约束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MT最新实验反馈thinking由4.6s降至1.4s。来源是用户2026年10月14日转述，模型、样本量、统计量与时钟尚未附齐，保留为E4阶段反馈。它与DeepSeek medium/none属于独立证据。〔E4，S16〕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520"/>
        <w:gridCol w:w="4738"/>
      </w:tblGrid>
      <w:tr>
        <w:trPr>
          <w:cantSplit/>
          <w:tblHeader/>
        </w:trPr>
        <w:tc>
          <w:tcPr>
            <w:tcW w:type="dxa" w:w="288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阶段指标</w:t>
            </w:r>
          </w:p>
        </w:tc>
        <w:tc>
          <w:tcPr>
            <w:tcW w:type="dxa" w:w="252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73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差额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3.2s</w:t>
            </w:r>
          </w:p>
        </w:tc>
        <w:tc>
          <w:tcPr>
            <w:tcW w:type="dxa" w:w="473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4.6−1.4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降幅</w:t>
            </w:r>
          </w:p>
        </w:tc>
        <w:tc>
          <w:tcPr>
            <w:tcW w:type="dxa" w:w="25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69.6%</w:t>
            </w:r>
          </w:p>
        </w:tc>
        <w:tc>
          <w:tcPr>
            <w:tcW w:type="dxa" w:w="473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只针对该thinking指标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加速比</w:t>
            </w:r>
          </w:p>
        </w:tc>
        <w:tc>
          <w:tcPr>
            <w:tcW w:type="dxa" w:w="25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约3.29倍</w:t>
            </w:r>
          </w:p>
        </w:tc>
        <w:tc>
          <w:tcPr>
            <w:tcW w:type="dxa" w:w="473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不代表整集加速比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若4.6s与1.4s是同条件每请求均值，且轮数、工具与其他请求阶段不变，则T_low=T_base−3.2N。若该thinking阶段原占整集比例为f，整集降幅为0.69565f。下面为条件预算，非已跑成绩。〔E3，基于E4计算〕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3384"/>
        <w:gridCol w:w="3514"/>
      </w:tblGrid>
      <w:tr>
        <w:trPr>
          <w:cantSplit/>
          <w:tblHeader/>
        </w:trPr>
        <w:tc>
          <w:tcPr>
            <w:tcW w:type="dxa" w:w="324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原thinking占比</w:t>
            </w:r>
          </w:p>
        </w:tc>
        <w:tc>
          <w:tcPr>
            <w:tcW w:type="dxa" w:w="338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整集时间降幅</w:t>
            </w:r>
          </w:p>
        </w:tc>
        <w:tc>
          <w:tcPr>
            <w:tcW w:type="dxa" w:w="351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整集加速比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10%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约7.0%</w:t>
            </w:r>
          </w:p>
        </w:tc>
        <w:tc>
          <w:tcPr>
            <w:tcW w:type="dxa" w:w="35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1.075倍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33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约20.9%</w:t>
            </w:r>
          </w:p>
        </w:tc>
        <w:tc>
          <w:tcPr>
            <w:tcW w:type="dxa" w:w="351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1.264倍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33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约34.8%</w:t>
            </w:r>
          </w:p>
        </w:tc>
        <w:tc>
          <w:tcPr>
            <w:tcW w:type="dxa" w:w="351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1.533倍</w:t>
            </w:r>
          </w:p>
        </w:tc>
      </w:tr>
    </w:tbl>
    <w:p>
      <w:pPr>
        <w:spacing w:after="0"/>
      </w:pPr>
    </w:p>
    <w:p>
      <w:pPr>
        <w:pStyle w:val="Heading2"/>
      </w:pPr>
      <w:r>
        <w:t>如何判断是否值得采用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固定请求比较baseline/low的TTFT、可见窗口、输出tokens和请求p50/p95，再在配对闭环中比较成功、轮数、恢复与全成本。质量基本不下降是采用前提，不能把速度改善补偿失败率上升默认视为可接受。〔E3，设计〕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可比较全程medium、全程low和按阶段切换三种策略。阶段切换需要预先定义触发条件及回退，不能在看到失败结果后人工调整规则再合并统计。none是另一个档位，不能代替low的实测。〔E3，设计〕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需归档的实验字段包括模型/版本、档位、任务/seed、重复数、缓存/并发、阶段起止时钟、请求总时长与任务结果。信息缺口不影响保留反馈，但限制承诺范围。</w:t>
      </w:r>
    </w:p>
    <w:p>
      <w:pPr>
        <w:pStyle w:val="Heading1"/>
        <w:pageBreakBefore/>
      </w:pPr>
      <w:r>
        <w:t>15 优化候选方案横向比较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1800"/>
        <w:gridCol w:w="2275"/>
        <w:gridCol w:w="2333"/>
        <w:gridCol w:w="2174"/>
      </w:tblGrid>
      <w:tr>
        <w:trPr>
          <w:cantSplit/>
          <w:tblHeader/>
        </w:trPr>
        <w:tc>
          <w:tcPr>
            <w:tcW w:type="dxa" w:w="155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180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主要作用</w:t>
            </w:r>
          </w:p>
        </w:tc>
        <w:tc>
          <w:tcPr>
            <w:tcW w:type="dxa" w:w="227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收益依据</w:t>
            </w:r>
          </w:p>
        </w:tc>
        <w:tc>
          <w:tcPr>
            <w:tcW w:type="dxa" w:w="233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主要代价/风险</w:t>
            </w:r>
          </w:p>
        </w:tc>
        <w:tc>
          <w:tcPr>
            <w:tcW w:type="dxa" w:w="217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验证重点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low think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降低单次生成成本</w:t>
            </w:r>
          </w:p>
        </w:tc>
        <w:tc>
          <w:tcPr>
            <w:tcW w:type="dxa" w:w="227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MT阶段反馈与DS档位相关证据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错误/恢复可能增加</w:t>
            </w:r>
          </w:p>
        </w:tc>
        <w:tc>
          <w:tcPr>
            <w:tcW w:type="dxa" w:w="217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配对成功、轮数及总耗时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JEV选择器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替换部分有限选项决策</w:t>
            </w:r>
          </w:p>
        </w:tc>
        <w:tc>
          <w:tcPr>
            <w:tcW w:type="dxa" w:w="227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本地接口与结构化候选实现</w:t>
            </w:r>
          </w:p>
        </w:tc>
        <w:tc>
          <w:tcPr>
            <w:tcW w:type="dxa" w:w="233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状态/候选生成、回退及新增网络成本</w:t>
            </w:r>
          </w:p>
        </w:tc>
        <w:tc>
          <w:tcPr>
            <w:tcW w:type="dxa" w:w="217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固定同一候选比较规则/Astra/JEV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Astra+VLA调用优化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低频规划与连续局部动作</w:t>
            </w:r>
          </w:p>
        </w:tc>
        <w:tc>
          <w:tcPr>
            <w:tcW w:type="dxa" w:w="227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RPent已有π技能，GAP每轮审核代价高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反馈频率下降、动作偏差积累</w:t>
            </w:r>
          </w:p>
        </w:tc>
        <w:tc>
          <w:tcPr>
            <w:tcW w:type="dxa" w:w="217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事件触发、复合技能与进展确认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Astra+JEV+VLA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规划、快速选择与执行分层</w:t>
            </w:r>
          </w:p>
        </w:tc>
        <w:tc>
          <w:tcPr>
            <w:tcW w:type="dxa" w:w="227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架构假设，尚无RPent受控收益</w:t>
            </w:r>
          </w:p>
        </w:tc>
        <w:tc>
          <w:tcPr>
            <w:tcW w:type="dxa" w:w="233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多层串行、陈旧状态和系统复杂度</w:t>
            </w:r>
          </w:p>
        </w:tc>
        <w:tc>
          <w:tcPr>
            <w:tcW w:type="dxa" w:w="217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新增选择器收益是否覆盖额外成本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请求/输出工程优化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输入复用、前缀稳定、输出缩短</w:t>
            </w:r>
          </w:p>
        </w:tc>
        <w:tc>
          <w:tcPr>
            <w:tcW w:type="dxa" w:w="227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v5 payload与长输出观察</w:t>
            </w:r>
          </w:p>
        </w:tc>
        <w:tc>
          <w:tcPr>
            <w:tcW w:type="dxa" w:w="233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信息遗漏、缓存改变与审计不足</w:t>
            </w:r>
          </w:p>
        </w:tc>
        <w:tc>
          <w:tcPr>
            <w:tcW w:type="dxa" w:w="217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固定重放及闭环质量双重验证</w:t>
            </w:r>
          </w:p>
        </w:tc>
      </w:tr>
    </w:tbl>
    <w:p>
      <w:pPr>
        <w:spacing w:after="0"/>
      </w:pPr>
    </w:p>
    <w:p>
      <w:pPr>
        <w:pStyle w:val="Heading2"/>
      </w:pPr>
      <w:r>
        <w:t>比较顺序与路线选择分开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首先用固定请求分离单次成本，再用同任务闭环观察轮数与动作变化。低成本、易隔离的实验可以先做，但不意味着提前认定某条最终架构最优。当前证据不足以对JEV或完整三层组合给出可信提速百分比。〔E3〕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low think可与不同决策架构叠加。JEV的候选选择和Astra的视觉规划也可能共存。为了定位贡献，先单因素消融，再测组合，最终根据质量约束下的总耗时、长尾与工程成本比较。〔E3，设计〕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本节给出候选比较，没有确定采用路线。已测结果、源码能力与拟议结构分别保留证据等级。</w:t>
      </w:r>
    </w:p>
    <w:p>
      <w:pPr>
        <w:pStyle w:val="Heading1"/>
        <w:pageBreakBefore/>
      </w:pPr>
      <w:r>
        <w:t>16 JEV：职责、接入成本与证据边界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本地embodied-jev参考项目通过TypeSafe System One API发送文本state与questions，取得choice与probabilities。仓库未提供可直接移植到NPU的Jev权重与可审查的服务端网络参数。Jev在这里承担有限候选选择，并非视觉动作模型。〔E1/E3，S12、J1〕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104"/>
        <w:gridCol w:w="4450"/>
      </w:tblGrid>
      <w:tr>
        <w:trPr>
          <w:cantSplit/>
          <w:tblHeader/>
        </w:trPr>
        <w:tc>
          <w:tcPr>
            <w:tcW w:type="dxa" w:w="158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链路环节</w:t>
            </w:r>
          </w:p>
        </w:tc>
        <w:tc>
          <w:tcPr>
            <w:tcW w:type="dxa" w:w="410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已有参考实现</w:t>
            </w:r>
          </w:p>
        </w:tc>
        <w:tc>
          <w:tcPr>
            <w:tcW w:type="dxa" w:w="445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RPent候选集成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视觉与候选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libero_v2由Astra处理视觉并生成2–3个候选</w:t>
            </w:r>
          </w:p>
        </w:tc>
        <w:tc>
          <w:tcPr>
            <w:tcW w:type="dxa" w:w="44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计入视觉理解、状态整理和候选生成成本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决策选择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Jev或GPT从候选中选择</w:t>
            </w:r>
          </w:p>
        </w:tc>
        <w:tc>
          <w:tcPr>
            <w:tcW w:type="dxa" w:w="445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技能ID、恢复分支、重新观察或停止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执行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该libero_v2使用数值伺服</w:t>
            </w:r>
          </w:p>
        </w:tc>
        <w:tc>
          <w:tcPr>
            <w:tcW w:type="dxa" w:w="44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沿用π技能及已验证动作原语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反馈</w:t>
            </w:r>
          </w:p>
        </w:tc>
        <w:tc>
          <w:tcPr>
            <w:tcW w:type="dxa" w:w="410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环境状态与规则检查</w:t>
            </w:r>
          </w:p>
        </w:tc>
        <w:tc>
          <w:tcPr>
            <w:tcW w:type="dxa" w:w="445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任务进展、抓持、终止和异常回退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如果每次JEV选择前仍要调用Astra生成候选，就形成串行新增请求。只有当它减少后续请求、错误或恢复，或替换更昂贵的选择步骤时，整体才可能获益。评价对象必须是完整链路，不能只比较selector API延迟。〔E1/E3〕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上游单次开发案例中drawer从GPT609.8s、112请求变为hybrid319.7s、75请求，但小样本组内GPT为2/2、hybrid为1/2，条件不构成受控非劣性比较。该结果可用于提出假设，不能移作RPent预期收益。〔E3，S12〕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固定候选消融保持同一state、候选、硬约束与执行器，只更换规则/Astra/JEV选择器。再逐步开放动态候选和回退，记录候选生成调用率、回退率、候选覆盖和新增等待。probabilities需校准，不能直接当任务成功概率。〔E3，设计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J1固定commit f08de2e4e20d6cd69fea9c57ac1062c3ef510f1e；policies.py 277–422为API，libero_supervisor.py 101–289为候选/选择/伺服。</w:t>
      </w:r>
    </w:p>
    <w:p>
      <w:pPr>
        <w:pStyle w:val="Heading1"/>
        <w:pageBreakBefore/>
      </w:pPr>
      <w:r>
        <w:t>17 Astra、JEV与VLA的架构比较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9"/>
        <w:gridCol w:w="3096"/>
        <w:gridCol w:w="2246"/>
        <w:gridCol w:w="2736"/>
      </w:tblGrid>
      <w:tr>
        <w:trPr>
          <w:cantSplit/>
          <w:tblHeader/>
        </w:trPr>
        <w:tc>
          <w:tcPr>
            <w:tcW w:type="dxa" w:w="205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架构</w:t>
            </w:r>
          </w:p>
        </w:tc>
        <w:tc>
          <w:tcPr>
            <w:tcW w:type="dxa" w:w="309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职责与调用方式</w:t>
            </w:r>
          </w:p>
        </w:tc>
        <w:tc>
          <w:tcPr>
            <w:tcW w:type="dxa" w:w="224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潜在优势</w:t>
            </w:r>
          </w:p>
        </w:tc>
        <w:tc>
          <w:tcPr>
            <w:tcW w:type="dxa" w:w="273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需要验证的代价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现有Astra+技能/VLA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Astra调用工具及π原语，执行后获得反馈</w:t>
            </w:r>
          </w:p>
        </w:tc>
        <w:tc>
          <w:tcPr>
            <w:tcW w:type="dxa" w:w="224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已有完整RPent基线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高层等待、碎片化调用与恢复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Astra低频规划+VLA</w:t>
            </w:r>
          </w:p>
        </w:tc>
        <w:tc>
          <w:tcPr>
            <w:tcW w:type="dxa" w:w="309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技能内连续执行，在阶段边界/异常时请求高层</w:t>
            </w:r>
          </w:p>
        </w:tc>
        <w:tc>
          <w:tcPr>
            <w:tcW w:type="dxa" w:w="224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减少高层往返，维持局部反馈</w:t>
            </w:r>
          </w:p>
        </w:tc>
        <w:tc>
          <w:tcPr>
            <w:tcW w:type="dxa" w:w="273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技能覆盖、停止规则与观测新鲜度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JEV选择+VLA</w:t>
            </w:r>
          </w:p>
        </w:tc>
        <w:tc>
          <w:tcPr>
            <w:tcW w:type="dxa" w:w="309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结构化状态和有限候选可直接提供时，由JEV选技能</w:t>
            </w:r>
          </w:p>
        </w:tc>
        <w:tc>
          <w:tcPr>
            <w:tcW w:type="dxa" w:w="224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低成本有限决策的可能性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独立视觉/状态构造、复杂情况回退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Astra+JEV+VLA</w:t>
            </w:r>
          </w:p>
        </w:tc>
        <w:tc>
          <w:tcPr>
            <w:tcW w:type="dxa" w:w="309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Astra更新目标或候选，JEV选分支，VLA执行</w:t>
            </w:r>
          </w:p>
        </w:tc>
        <w:tc>
          <w:tcPr>
            <w:tcW w:type="dxa" w:w="224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分配复杂规划与常规选择</w:t>
            </w:r>
          </w:p>
        </w:tc>
        <w:tc>
          <w:tcPr>
            <w:tcW w:type="dxa" w:w="273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串行层数、同步成本、收益能否覆盖接入开销</w:t>
            </w:r>
          </w:p>
        </w:tc>
      </w:tr>
    </w:tbl>
    <w:p>
      <w:pPr>
        <w:spacing w:after="0"/>
      </w:pPr>
    </w:p>
    <w:p>
      <w:pPr>
        <w:pStyle w:val="Heading2"/>
      </w:pPr>
      <w:r>
        <w:t>共同的闭环要求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局部控制持续观察抓持、位移和安全边界，高层按可解释事件触发。事件包括子目标完成、对象/任务变化、连续无进展或状态置信不足。减少高层调用不意味着省略局部反馈与停止检查。〔E3，设计〕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用观测时间戳、技能版本与请求ID关联状态和动作。异步高层结果返回后先检查是否过时，再决定接纳、丢弃或在chunk边界切换。记录观测年龄、buffer欠载、取消与回退次数，才能判断架构是否改善实时闭环。〔E3，设计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chunk变长可摊销推理，却可能推迟纠错并增加恢复成本。比较时同时保持权重、动作范围与终止条件，报告单chunk时延、实际执行步数和任务质量。〔E3〕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Astra+π技能已在RPent实验中使用；此处待比较的是调用频率、技能粒度、异步调度与JEV职责变化。</w:t>
      </w:r>
    </w:p>
    <w:p>
      <w:pPr>
        <w:pStyle w:val="Heading1"/>
        <w:pageBreakBefore/>
      </w:pPr>
      <w:r>
        <w:t>18 技术趋势与局部实时性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3600"/>
        <w:gridCol w:w="4594"/>
      </w:tblGrid>
      <w:tr>
        <w:trPr>
          <w:cantSplit/>
          <w:tblHeader/>
        </w:trPr>
        <w:tc>
          <w:tcPr>
            <w:tcW w:type="dxa" w:w="194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60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本项目证据/相关研究</w:t>
            </w:r>
          </w:p>
        </w:tc>
        <w:tc>
          <w:tcPr>
            <w:tcW w:type="dxa" w:w="459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技术判断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分层决策与动作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GPT逐轮审核等待、RPent技能执行；HiRobot/Helix</w:t>
            </w:r>
          </w:p>
        </w:tc>
        <w:tc>
          <w:tcPr>
            <w:tcW w:type="dxa" w:w="45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高层语义规划与局部动作可以采用不同频率，关键是可靠的技能反馈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按阶段配置推理预算</w:t>
            </w:r>
          </w:p>
        </w:tc>
        <w:tc>
          <w:tcPr>
            <w:tcW w:type="dxa" w:w="36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DeepSeek档位对照、MT low反馈</w:t>
            </w:r>
          </w:p>
        </w:tc>
        <w:tc>
          <w:tcPr>
            <w:tcW w:type="dxa" w:w="459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普通阶段与异常恢复可比较不同预算，验收仍看完整任务质量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稳定上下文与输入复用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v5 payload/cache和输出长尾</w:t>
            </w:r>
          </w:p>
        </w:tc>
        <w:tc>
          <w:tcPr>
            <w:tcW w:type="dxa" w:w="45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压缩与复用需保持任务信息，缓存命中率不是纯prefill时钟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异步action chunk</w:t>
            </w:r>
          </w:p>
        </w:tc>
        <w:tc>
          <w:tcPr>
            <w:tcW w:type="dxa" w:w="36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π延迟与动作窗口；RTC研究</w:t>
            </w:r>
          </w:p>
        </w:tc>
        <w:tc>
          <w:tcPr>
            <w:tcW w:type="dxa" w:w="459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必须测延迟、观测年龄和动作连续性，不能仅看平均token或action速率</w:t>
            </w:r>
          </w:p>
        </w:tc>
      </w:tr>
    </w:tbl>
    <w:p>
      <w:pPr>
        <w:spacing w:after="0"/>
      </w:pPr>
    </w:p>
    <w:p>
      <w:pPr>
        <w:pStyle w:val="Heading2"/>
      </w:pPr>
      <w:r>
        <w:t>π的整集占比小，仍可能超过控制窗口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v5固定观测帧的10次独立π探针为383–384ms/chunk，每chunk输出5步。按20Hz动作周期，5步覆盖250ms，小于384ms推理延迟。76.8ms/action只是摊销量，不能解释为满足50ms控制周期。〔E3，S10，计算〕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独立探针与在线handler的观测、同步与插桩条件不同，不直接用两者数值比较设备性能。前向与等待分离后再profile prefix、denoise、attention、搬运和同步，确认热点在关键路径。〔E3，S7、S10〕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云端Astra/JEV的服务排队和kernel不在本地可控范围。本地NPU路线需要可部署模型与实际算子profile；32次固定请求方案仍是计划，不能写成已有NPU吞吐结论。〔E3，S14、S15〕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技术趋势依据S12–S15及附录W1–W3，不等于本项目完成真机验证或完整组合复现。</w:t>
      </w:r>
    </w:p>
    <w:p>
      <w:pPr>
        <w:pStyle w:val="Heading1"/>
        <w:pageBreakBefore/>
      </w:pPr>
      <w:r>
        <w:t>19 对照实验与结论收口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29"/>
        <w:gridCol w:w="3024"/>
        <w:gridCol w:w="3139"/>
        <w:gridCol w:w="2146"/>
      </w:tblGrid>
      <w:tr>
        <w:trPr>
          <w:cantSplit/>
          <w:tblHeader/>
        </w:trPr>
        <w:tc>
          <w:tcPr>
            <w:tcW w:type="dxa" w:w="182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实验层</w:t>
            </w:r>
          </w:p>
        </w:tc>
        <w:tc>
          <w:tcPr>
            <w:tcW w:type="dxa" w:w="302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控制变量</w:t>
            </w:r>
          </w:p>
        </w:tc>
        <w:tc>
          <w:tcPr>
            <w:tcW w:type="dxa" w:w="3139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主要输出</w:t>
            </w:r>
          </w:p>
        </w:tc>
        <w:tc>
          <w:tcPr>
            <w:tcW w:type="dxa" w:w="214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固定请求重放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模型版本、输入、图像、缓存/并发、输出预算</w:t>
            </w:r>
          </w:p>
        </w:tc>
        <w:tc>
          <w:tcPr>
            <w:tcW w:type="dxa" w:w="3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TTFT、客户端子阶段、tokens、TPOT、请求p50/p95</w:t>
            </w:r>
          </w:p>
        </w:tc>
        <w:tc>
          <w:tcPr>
            <w:tcW w:type="dxa" w:w="214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明确改善哪个窗口，保留输出正确性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闭环配对任务</w:t>
            </w:r>
          </w:p>
        </w:tc>
        <w:tc>
          <w:tcPr>
            <w:tcW w:type="dxa" w:w="30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任务/seed、工具、VLA权重、预算、成功谓词</w:t>
            </w:r>
          </w:p>
        </w:tc>
        <w:tc>
          <w:tcPr>
            <w:tcW w:type="dxa" w:w="313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成功率、整集时间、请求数、恢复、全部attempt成本</w:t>
            </w:r>
          </w:p>
        </w:tc>
        <w:tc>
          <w:tcPr>
            <w:tcW w:type="dxa" w:w="214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质量基本不下降，时间收益覆盖额外调用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选择器消融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同state、候选、硬约束与执行器</w:t>
            </w:r>
          </w:p>
        </w:tc>
        <w:tc>
          <w:tcPr>
            <w:tcW w:type="dxa" w:w="3139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规则/Astra/JEV的完整链路比较</w:t>
            </w:r>
          </w:p>
        </w:tc>
        <w:tc>
          <w:tcPr>
            <w:tcW w:type="dxa" w:w="214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包括状态构造、候选生成及回退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调度消融</w:t>
            </w:r>
          </w:p>
        </w:tc>
        <w:tc>
          <w:tcPr>
            <w:tcW w:type="dxa" w:w="30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同权重、动作范围、任务与停止规则</w:t>
            </w:r>
          </w:p>
        </w:tc>
        <w:tc>
          <w:tcPr>
            <w:tcW w:type="dxa" w:w="3139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同步/异步、chunk、观测年龄、deadline</w:t>
            </w:r>
          </w:p>
        </w:tc>
        <w:tc>
          <w:tcPr>
            <w:tcW w:type="dxa" w:w="214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任务质量及动作连续性均满足要求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质量约束由冻结任务标准落实。预注册统计检验方法、允许的测量误差与样本规模，不擅自把5个百分点下降写为可接受门槛。小样本筛选可发现问题，但成功数相同不等于非劣性成立，扩大样本应依据任务差异与不确定性。〔E3，设计〕</w:t>
      </w:r>
    </w:p>
    <w:p>
      <w:pPr>
        <w:pStyle w:val="Heading2"/>
      </w:pPr>
      <w:r>
        <w:t>当前可以成立的结论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</w:r>
      <w:r>
        <w:rPr>
          <w:rFonts w:ascii="Arial" w:hAnsi="Arial" w:eastAsia="Hiragino Sans GB"/>
          <w:b/>
          <w:color w:val="000000"/>
        </w:rPr>
        <w:t>性能诊断：</w:t>
      </w:r>
      <w:r>
        <w:rPr>
          <w:rFonts w:ascii="Arial" w:hAnsi="Arial" w:eastAsia="Hiragino Sans GB"/>
          <w:b w:val="0"/>
          <w:color w:val="000000"/>
        </w:rPr>
        <w:t xml:space="preserve"> RPent总体时间由高层调用链路和动作执行共同主导；深度补测显示π handler对整集的占比较小。DeepSeek不同集合分别表现为首输出前等待或首输出后生成占主导，阶段和上下文信息决定归因。〔E3，S6–S11〕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</w:r>
      <w:r>
        <w:rPr>
          <w:rFonts w:ascii="Arial" w:hAnsi="Arial" w:eastAsia="Hiragino Sans GB"/>
          <w:b/>
          <w:color w:val="000000"/>
        </w:rPr>
        <w:t>优化比较：</w:t>
      </w:r>
      <w:r>
        <w:rPr>
          <w:rFonts w:ascii="Arial" w:hAnsi="Arial" w:eastAsia="Hiragino Sans GB"/>
          <w:b w:val="0"/>
          <w:color w:val="000000"/>
        </w:rPr>
        <w:t xml:space="preserve"> low think、请求工程优化、JEV选择器和Astra/VLA职责调整分别作用于不同环节。现有证据支持开展对照，尚不支持宣布统一赢家或承诺固定整集提速。以完成质量基本不下降为前提，联合比较单次等待、轮数、恢复和全成本。〔E3/E4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本报告汇总既有实验与源码，未新增远程仿真、训练或机器人运行。后续实验设计不计入已完成工作量。</w:t>
      </w:r>
    </w:p>
    <w:p>
      <w:pPr>
        <w:pStyle w:val="Heading1"/>
        <w:pageBreakBefore/>
      </w:pPr>
      <w:r>
        <w:t>附录A 其他基线的tokens、缓存与等待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7"/>
        <w:gridCol w:w="1944"/>
        <w:gridCol w:w="1944"/>
        <w:gridCol w:w="1800"/>
        <w:gridCol w:w="1742"/>
      </w:tblGrid>
      <w:tr>
        <w:trPr>
          <w:cantSplit/>
          <w:tblHeader/>
        </w:trPr>
        <w:tc>
          <w:tcPr>
            <w:tcW w:type="dxa" w:w="2707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GPT任务/路线</w:t>
            </w:r>
          </w:p>
        </w:tc>
        <w:tc>
          <w:tcPr>
            <w:tcW w:type="dxa" w:w="194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输入mean tok</w:t>
            </w:r>
          </w:p>
        </w:tc>
        <w:tc>
          <w:tcPr>
            <w:tcW w:type="dxa" w:w="194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总输出mean tok</w:t>
            </w:r>
          </w:p>
        </w:tc>
        <w:tc>
          <w:tcPr>
            <w:tcW w:type="dxa" w:w="180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reasoning mean</w:t>
            </w:r>
          </w:p>
        </w:tc>
        <w:tc>
          <w:tcPr>
            <w:tcW w:type="dxa" w:w="174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可见输出估mean</w:t>
            </w:r>
          </w:p>
        </w:tc>
      </w:tr>
      <w:tr>
        <w:trPr>
          <w:cantSplit/>
        </w:trPr>
        <w:tc>
          <w:tcPr>
            <w:tcW w:type="dxa" w:w="27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两罐入篮/direct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41772.9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160.81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36.42</w:t>
            </w:r>
          </w:p>
        </w:tc>
        <w:tc>
          <w:tcPr>
            <w:tcW w:type="dxa" w:w="1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124.39</w:t>
            </w:r>
          </w:p>
        </w:tc>
      </w:tr>
      <w:tr>
        <w:trPr>
          <w:cantSplit/>
        </w:trPr>
        <w:tc>
          <w:tcPr>
            <w:tcW w:type="dxa" w:w="27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两罐入篮/hybrid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44651.6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331.84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7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331.84</w:t>
            </w:r>
          </w:p>
        </w:tc>
      </w:tr>
      <w:tr>
        <w:trPr>
          <w:cantSplit/>
        </w:trPr>
        <w:tc>
          <w:tcPr>
            <w:tcW w:type="dxa" w:w="27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微波炉/direct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43787.5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159.66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39.96</w:t>
            </w:r>
          </w:p>
        </w:tc>
        <w:tc>
          <w:tcPr>
            <w:tcW w:type="dxa" w:w="1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119.70</w:t>
            </w:r>
          </w:p>
        </w:tc>
      </w:tr>
      <w:tr>
        <w:trPr>
          <w:cantSplit/>
        </w:trPr>
        <w:tc>
          <w:tcPr>
            <w:tcW w:type="dxa" w:w="27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底层抽屉/direct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33226.4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177.38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54.20</w:t>
            </w:r>
          </w:p>
        </w:tc>
        <w:tc>
          <w:tcPr>
            <w:tcW w:type="dxa" w:w="17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123.17</w:t>
            </w:r>
          </w:p>
        </w:tc>
      </w:tr>
      <w:tr>
        <w:trPr>
          <w:cantSplit/>
        </w:trPr>
        <w:tc>
          <w:tcPr>
            <w:tcW w:type="dxa" w:w="2707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底层抽屉/hybrid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52864.7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333.32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3.05</w:t>
            </w:r>
          </w:p>
        </w:tc>
        <w:tc>
          <w:tcPr>
            <w:tcW w:type="dxa" w:w="174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330.27</w:t>
            </w:r>
          </w:p>
        </w:tc>
      </w:tr>
      <w:tr>
        <w:trPr>
          <w:cantSplit/>
        </w:trPr>
        <w:tc>
          <w:tcPr>
            <w:tcW w:type="dxa" w:w="2707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微波炉/hybrid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47940.3</w:t>
            </w:r>
          </w:p>
        </w:tc>
        <w:tc>
          <w:tcPr>
            <w:tcW w:type="dxa" w:w="194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336.86</w:t>
            </w:r>
          </w:p>
        </w:tc>
        <w:tc>
          <w:tcPr>
            <w:tcW w:type="dxa" w:w="180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0.31</w:t>
            </w:r>
          </w:p>
        </w:tc>
        <w:tc>
          <w:tcPr>
            <w:tcW w:type="dxa" w:w="174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336.55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1728"/>
        <w:gridCol w:w="1728"/>
        <w:gridCol w:w="2016"/>
        <w:gridCol w:w="2290"/>
      </w:tblGrid>
      <w:tr>
        <w:trPr>
          <w:cantSplit/>
          <w:tblHeader/>
        </w:trPr>
        <w:tc>
          <w:tcPr>
            <w:tcW w:type="dxa" w:w="237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罐子Hybrid切片</w:t>
            </w:r>
          </w:p>
        </w:tc>
        <w:tc>
          <w:tcPr>
            <w:tcW w:type="dxa" w:w="172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input mean</w:t>
            </w:r>
          </w:p>
        </w:tc>
        <w:tc>
          <w:tcPr>
            <w:tcW w:type="dxa" w:w="172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缓存mean</w:t>
            </w:r>
          </w:p>
        </w:tc>
        <w:tc>
          <w:tcPr>
            <w:tcW w:type="dxa" w:w="201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TTFT mean s</w:t>
            </w:r>
          </w:p>
        </w:tc>
        <w:tc>
          <w:tcPr>
            <w:tcW w:type="dxa" w:w="229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可见窗口mean 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首12轮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21494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19040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4.38</w:t>
            </w:r>
          </w:p>
        </w:tc>
        <w:tc>
          <w:tcPr>
            <w:tcW w:type="dxa" w:w="229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9.57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末12轮</w:t>
            </w:r>
          </w:p>
        </w:tc>
        <w:tc>
          <w:tcPr>
            <w:tcW w:type="dxa" w:w="172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67806.5</w:t>
            </w:r>
          </w:p>
        </w:tc>
        <w:tc>
          <w:tcPr>
            <w:tcW w:type="dxa" w:w="172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66475</w:t>
            </w:r>
          </w:p>
        </w:tc>
        <w:tc>
          <w:tcPr>
            <w:tcW w:type="dxa" w:w="201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4.90</w:t>
            </w:r>
          </w:p>
        </w:tc>
        <w:tc>
          <w:tcPr>
            <w:tcW w:type="dxa" w:w="229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9.61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第一张表的均值按S1累计/GPT turn数派生，输出总数已含reasoning。缓存切片来自S1 §6.4，只描述首末各12轮，不能替代全51轮，也不能单独证明prefill无成本。〔E3〕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2736"/>
        <w:gridCol w:w="1584"/>
        <w:gridCol w:w="4262"/>
      </w:tblGrid>
      <w:tr>
        <w:trPr>
          <w:cantSplit/>
          <w:tblHeader/>
        </w:trPr>
        <w:tc>
          <w:tcPr>
            <w:tcW w:type="dxa" w:w="155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bowl原四批</w:t>
            </w:r>
          </w:p>
        </w:tc>
        <w:tc>
          <w:tcPr>
            <w:tcW w:type="dxa" w:w="2736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决策等待mean s</w:t>
            </w:r>
          </w:p>
        </w:tc>
        <w:tc>
          <w:tcPr>
            <w:tcW w:type="dxa" w:w="158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等待占比</w:t>
            </w:r>
          </w:p>
        </w:tc>
        <w:tc>
          <w:tcPr>
            <w:tcW w:type="dxa" w:w="426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统计边界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27.2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94.6%</w:t>
            </w:r>
          </w:p>
        </w:tc>
        <w:tc>
          <w:tcPr>
            <w:tcW w:type="dxa" w:w="426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原批仅5例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GLM</w:t>
            </w:r>
          </w:p>
        </w:tc>
        <w:tc>
          <w:tcPr>
            <w:tcW w:type="dxa" w:w="273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约117，源报告推算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未提供</w:t>
            </w:r>
          </w:p>
        </w:tc>
        <w:tc>
          <w:tcPr>
            <w:tcW w:type="dxa" w:w="426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等待统计子集未单独明确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DeepSeek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135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99.2%</w:t>
            </w:r>
          </w:p>
        </w:tc>
        <w:tc>
          <w:tcPr>
            <w:tcW w:type="dxa" w:w="426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等待统计子集未单独明确</w:t>
            </w:r>
          </w:p>
        </w:tc>
      </w:tr>
      <w:tr>
        <w:trPr>
          <w:cantSplit/>
        </w:trPr>
        <w:tc>
          <w:tcPr>
            <w:tcW w:type="dxa" w:w="155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Qwen</w:t>
            </w:r>
          </w:p>
        </w:tc>
        <w:tc>
          <w:tcPr>
            <w:tcW w:type="dxa" w:w="2736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约110，源报告推算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未提供</w:t>
            </w:r>
          </w:p>
        </w:tc>
        <w:tc>
          <w:tcPr>
            <w:tcW w:type="dxa" w:w="426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等待统计子集未单独明确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bowl旧等待指标包含模型与接入/调度等成本，不能写成纯API latency。原表仅trial墙钟列明确前5配对，等待值不能擅自套入9/23同seed补测；原四批token来源也不同，不作费用或服务器吞吐推算。〔E3，S3〕</w:t>
      </w:r>
    </w:p>
    <w:p>
      <w:pPr>
        <w:pStyle w:val="Heading1"/>
        <w:pageBreakBefore/>
      </w:pPr>
      <w:r>
        <w:t>附录B RPent计量负载与v5同局口径复核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1368"/>
        <w:gridCol w:w="1584"/>
        <w:gridCol w:w="1584"/>
        <w:gridCol w:w="1512"/>
        <w:gridCol w:w="1498"/>
      </w:tblGrid>
      <w:tr>
        <w:trPr>
          <w:cantSplit/>
          <w:tblHeader/>
        </w:trPr>
        <w:tc>
          <w:tcPr>
            <w:tcW w:type="dxa" w:w="259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模型/套件</w:t>
            </w:r>
          </w:p>
        </w:tc>
        <w:tc>
          <w:tcPr>
            <w:tcW w:type="dxa" w:w="136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计量响应数</w:t>
            </w:r>
          </w:p>
        </w:tc>
        <w:tc>
          <w:tcPr>
            <w:tcW w:type="dxa" w:w="158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input总量M</w:t>
            </w:r>
          </w:p>
        </w:tc>
        <w:tc>
          <w:tcPr>
            <w:tcW w:type="dxa" w:w="158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cache占input</w:t>
            </w:r>
          </w:p>
        </w:tc>
        <w:tc>
          <w:tcPr>
            <w:tcW w:type="dxa" w:w="1512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output总量</w:t>
            </w:r>
          </w:p>
        </w:tc>
        <w:tc>
          <w:tcPr>
            <w:tcW w:type="dxa" w:w="149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reasoning总量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Astra/Long Swap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893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75.820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96.7%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137,319</w:t>
            </w:r>
          </w:p>
        </w:tc>
        <w:tc>
          <w:tcPr>
            <w:tcW w:type="dxa" w:w="14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20,509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Astra/Spatial Swap</w:t>
            </w:r>
          </w:p>
        </w:tc>
        <w:tc>
          <w:tcPr>
            <w:tcW w:type="dxa" w:w="136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579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33.502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95.1%</w:t>
            </w:r>
          </w:p>
        </w:tc>
        <w:tc>
          <w:tcPr>
            <w:tcW w:type="dxa" w:w="151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92,009</w:t>
            </w:r>
          </w:p>
        </w:tc>
        <w:tc>
          <w:tcPr>
            <w:tcW w:type="dxa" w:w="149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10,559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Astra/Spatial Task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640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39.801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95.8%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94,601</w:t>
            </w:r>
          </w:p>
        </w:tc>
        <w:tc>
          <w:tcPr>
            <w:tcW w:type="dxa" w:w="14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9,339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Sol/Long Swap</w:t>
            </w:r>
          </w:p>
        </w:tc>
        <w:tc>
          <w:tcPr>
            <w:tcW w:type="dxa" w:w="136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1173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101.169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96.9%</w:t>
            </w:r>
          </w:p>
        </w:tc>
        <w:tc>
          <w:tcPr>
            <w:tcW w:type="dxa" w:w="151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207,605</w:t>
            </w:r>
          </w:p>
        </w:tc>
        <w:tc>
          <w:tcPr>
            <w:tcW w:type="dxa" w:w="149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75,942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Sol/Spatial Swap</w:t>
            </w:r>
          </w:p>
        </w:tc>
        <w:tc>
          <w:tcPr>
            <w:tcW w:type="dxa" w:w="13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865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58.435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96.1%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161,138</w:t>
            </w:r>
          </w:p>
        </w:tc>
        <w:tc>
          <w:tcPr>
            <w:tcW w:type="dxa" w:w="149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56,336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Sol/Spatial Task</w:t>
            </w:r>
          </w:p>
        </w:tc>
        <w:tc>
          <w:tcPr>
            <w:tcW w:type="dxa" w:w="136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864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57.890</w:t>
            </w:r>
          </w:p>
        </w:tc>
        <w:tc>
          <w:tcPr>
            <w:tcW w:type="dxa" w:w="158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96.1%</w:t>
            </w:r>
          </w:p>
        </w:tc>
        <w:tc>
          <w:tcPr>
            <w:tcW w:type="dxa" w:w="1512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148,583</w:t>
            </w:r>
          </w:p>
        </w:tc>
        <w:tc>
          <w:tcPr>
            <w:tcW w:type="dxa" w:w="149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47,527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统计按120集报告中的计量响应累加，cached是input子集，reasoning是output子集。高缓存比例不等于短TTFT，原集合没有可独立归因的TTFT、TPOT和纯prefill/hidden-thinking时钟。〔E3，S6〕</w:t>
      </w:r>
    </w:p>
    <w:p>
      <w:pPr>
        <w:pStyle w:val="Heading2"/>
      </w:pPr>
      <w:r>
        <w:t>v5旧表与后续审计属于同局的口径复核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485"/>
        <w:gridCol w:w="3773"/>
      </w:tblGrid>
      <w:tr>
        <w:trPr>
          <w:cantSplit/>
          <w:tblHeader/>
        </w:trPr>
        <w:tc>
          <w:tcPr>
            <w:tcW w:type="dxa" w:w="288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v5指标</w:t>
            </w:r>
          </w:p>
        </w:tc>
        <w:tc>
          <w:tcPr>
            <w:tcW w:type="dxa" w:w="3485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原报告逐轮舍入表</w:t>
            </w:r>
          </w:p>
        </w:tc>
        <w:tc>
          <w:tcPr>
            <w:tcW w:type="dxa" w:w="3773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后续审计ds_v5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请求累计</w:t>
            </w:r>
          </w:p>
        </w:tc>
        <w:tc>
          <w:tcPr>
            <w:tcW w:type="dxa" w:w="34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约93.6s</w:t>
            </w:r>
          </w:p>
        </w:tc>
        <w:tc>
          <w:tcPr>
            <w:tcW w:type="dxa" w:w="377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93.592s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TTFT累计 / p50</w:t>
            </w:r>
          </w:p>
        </w:tc>
        <w:tc>
          <w:tcPr>
            <w:tcW w:type="dxa" w:w="34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27.260s / 1.07s</w:t>
            </w:r>
          </w:p>
        </w:tc>
        <w:tc>
          <w:tcPr>
            <w:tcW w:type="dxa" w:w="377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27.256s / 1.068s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可见thinking累计</w:t>
            </w:r>
          </w:p>
        </w:tc>
        <w:tc>
          <w:tcPr>
            <w:tcW w:type="dxa" w:w="34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47.150s</w:t>
            </w:r>
          </w:p>
        </w:tc>
        <w:tc>
          <w:tcPr>
            <w:tcW w:type="dxa" w:w="377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47.144s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正文/工具窗口累计</w:t>
            </w:r>
          </w:p>
        </w:tc>
        <w:tc>
          <w:tcPr>
            <w:tcW w:type="dxa" w:w="3485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19.200s</w:t>
            </w:r>
          </w:p>
        </w:tc>
        <w:tc>
          <w:tcPr>
            <w:tcW w:type="dxa" w:w="3773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19.192s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TPOT p50</w:t>
            </w:r>
          </w:p>
        </w:tc>
        <w:tc>
          <w:tcPr>
            <w:tcW w:type="dxa" w:w="3485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约4ms，原概览近似</w:t>
            </w:r>
          </w:p>
        </w:tc>
        <w:tc>
          <w:tcPr>
            <w:tcW w:type="dxa" w:w="3773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3.621ms，按(总−TTFT)/(output−1)派生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两份公开表按15行顺序的input、reasoning、output等逐项对应，时间差与旧表舍入一致，作为同局口径复核，不增加实验数量。没有重新做原始trace的逐字节身份校验。TPOT分母和聚合方式不同，保留各自定义。〔E3，S8、S10，复核〕</w:t>
      </w: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M表示百万tokens。缓存比例以全集合累计cached/input计算，不是每请求比例的无权重均值。</w:t>
      </w:r>
    </w:p>
    <w:p>
      <w:pPr>
        <w:pStyle w:val="Heading1"/>
        <w:pageBreakBefore/>
      </w:pPr>
      <w:r>
        <w:t>附录 资料索引与版本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路径以工作区根或embodied-ai仓库根为基准。S1–S15为既有文件，S16为本次用户补充。报告采用来源标题、版本与章节定位，不复制原始会话、凭据或运行端点。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6768"/>
        <w:gridCol w:w="2650"/>
      </w:tblGrid>
      <w:tr>
        <w:trPr>
          <w:cantSplit/>
          <w:tblHeader/>
        </w:trPr>
        <w:tc>
          <w:tcPr>
            <w:tcW w:type="dxa" w:w="72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768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资料与位置</w:t>
            </w:r>
          </w:p>
        </w:tc>
        <w:tc>
          <w:tcPr>
            <w:tcW w:type="dxa" w:w="265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本文用途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S1</w:t>
            </w:r>
          </w:p>
        </w:tc>
        <w:tc>
          <w:tcPr>
            <w:tcW w:type="dxa" w:w="67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GPT-as-Policy-repro/data/decision_v2_20260922/index.html</w:t>
              <w:br/>
              <w:t>多任务逐轮决策实录 v1.9，9/29</w:t>
            </w:r>
          </w:p>
        </w:tc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§5–§8及内嵌九回合汇总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S2</w:t>
            </w:r>
          </w:p>
        </w:tc>
        <w:tc>
          <w:tcPr>
            <w:tcW w:type="dxa" w:w="676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GPT-as-Policy-repro/2026-09-17-GPT-as-Policy在MuJoCo与昇腾上的复现计划.md</w:t>
            </w:r>
          </w:p>
        </w:tc>
        <w:tc>
          <w:tcPr>
            <w:tcW w:type="dxa" w:w="265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计划与执行范围区分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S3</w:t>
            </w:r>
          </w:p>
        </w:tc>
        <w:tc>
          <w:tcPr>
            <w:tcW w:type="dxa" w:w="67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weeks/2026_0914-0920_GPT6Astra评测复现/2026-09-16-bowl-eval-v1四模型总结报告.html</w:t>
              <w:br/>
              <w:t>v1.2，实际更新9/23</w:t>
            </w:r>
          </w:p>
        </w:tc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§2、§3、§5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S4</w:t>
            </w:r>
          </w:p>
        </w:tc>
        <w:tc>
          <w:tcPr>
            <w:tcW w:type="dxa" w:w="676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weeks/2026_0921-0927_同机仿真与云边验证/2026-09-23-GPT6-Sol-bowl五次与Astra同seed对照.md</w:t>
              <w:br/>
              <w:t>v1.1</w:t>
            </w:r>
          </w:p>
        </w:tc>
        <w:tc>
          <w:tcPr>
            <w:tcW w:type="dxa" w:w="265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模型身份更正、配对结果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S5</w:t>
            </w:r>
          </w:p>
        </w:tc>
        <w:tc>
          <w:tcPr>
            <w:tcW w:type="dxa" w:w="67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weeks/2026_0928-1004_RPent双脑对照与回馈/2026-10-01-RPent-Codex双模型120集结果.md</w:t>
              <w:br/>
              <w:t>v1.0</w:t>
            </w:r>
          </w:p>
        </w:tc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正式身份、成功与耗时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S6</w:t>
            </w:r>
          </w:p>
        </w:tc>
        <w:tc>
          <w:tcPr>
            <w:tcW w:type="dxa" w:w="676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weeks/2026_1005-1011_RPent推理性能分析/2026-10-08-RPent-120集推理耗时与优化报告.html</w:t>
              <w:br/>
              <w:t>v2.0</w:t>
            </w:r>
          </w:p>
        </w:tc>
        <w:tc>
          <w:tcPr>
            <w:tcW w:type="dxa" w:w="265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互斥五桶、响应计数与归因边界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S7</w:t>
            </w:r>
          </w:p>
        </w:tc>
        <w:tc>
          <w:tcPr>
            <w:tcW w:type="dxa" w:w="67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weeks/2026_1005-1011_RPent推理性能分析/deep-report/RPent-两场景深度计时报告.html</w:t>
            </w:r>
          </w:p>
        </w:tc>
        <w:tc>
          <w:tcPr>
            <w:tcW w:type="dxa" w:w="265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8集计时及敏感性预算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S8</w:t>
            </w:r>
          </w:p>
        </w:tc>
        <w:tc>
          <w:tcPr>
            <w:tcW w:type="dxa" w:w="6768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weeks/2026_1012-1018_RPent多模型性能分析/ds-report/RPent-DeepSeek-两场景性能审计.html</w:t>
              <w:br/>
              <w:t>v1.5</w:t>
            </w:r>
          </w:p>
        </w:tc>
        <w:tc>
          <w:tcPr>
            <w:tcW w:type="dxa" w:w="265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medium/none、分段口径与新主例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本文E3表示本次按报告记载复核汇总，不否定源报告曾完成实测；E1仅用于已查看的代码接口与实现事实。</w:t>
      </w:r>
    </w:p>
    <w:p>
      <w:pPr>
        <w:pStyle w:val="Heading1"/>
        <w:pageBreakBefore/>
      </w:pPr>
      <w:r>
        <w:t>附录 选型资料与新增证据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6624"/>
        <w:gridCol w:w="2794"/>
      </w:tblGrid>
      <w:tr>
        <w:trPr>
          <w:cantSplit/>
          <w:tblHeader/>
        </w:trPr>
        <w:tc>
          <w:tcPr>
            <w:tcW w:type="dxa" w:w="720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62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资料与位置</w:t>
            </w:r>
          </w:p>
        </w:tc>
        <w:tc>
          <w:tcPr>
            <w:tcW w:type="dxa" w:w="2794"/>
            <w:vAlign w:val="center"/>
            <w:shd w:fill="183D55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用途与限制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S9</w:t>
            </w:r>
          </w:p>
        </w:tc>
        <w:tc>
          <w:tcPr>
            <w:tcW w:type="dxa" w:w="66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GPT-as-Policy-repro/2026-09-21-RoboTwin2.0双臂测评集与π0.5微调权重调研报告.md</w:t>
            </w:r>
          </w:p>
        </w:tc>
        <w:tc>
          <w:tcPr>
            <w:tcW w:type="dxa" w:w="27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选型调研；不同训练数据/任务范围的数字不作代际收益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S10</w:t>
            </w:r>
          </w:p>
        </w:tc>
        <w:tc>
          <w:tcPr>
            <w:tcW w:type="dxa" w:w="66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rpent-repo/ds_flash_v5_report.html</w:t>
              <w:br/>
              <w:t>真实TTFT v5，2026-10-11</w:t>
            </w:r>
          </w:p>
        </w:tc>
        <w:tc>
          <w:tcPr>
            <w:tcW w:type="dxa" w:w="279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15轮182.5s专项；保留客户端测量边界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S11</w:t>
            </w:r>
          </w:p>
        </w:tc>
        <w:tc>
          <w:tcPr>
            <w:tcW w:type="dxa" w:w="66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rpent-repo/files_api_report.html</w:t>
              <w:br/>
              <w:t>Files API优化局，2026-10-10</w:t>
            </w:r>
          </w:p>
        </w:tc>
        <w:tc>
          <w:tcPr>
            <w:tcW w:type="dxa" w:w="27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11轮153.1s独立实验；旧计时推断以S8审计限制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S12</w:t>
            </w:r>
          </w:p>
        </w:tc>
        <w:tc>
          <w:tcPr>
            <w:tcW w:type="dxa" w:w="66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weeks/2026_1012-1018_RPent多模型性能分析/2026-10-13-EmbodiedJev项目分析与RPent对比.md</w:t>
            </w:r>
          </w:p>
        </w:tc>
        <w:tc>
          <w:tcPr>
            <w:tcW w:type="dxa" w:w="279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Jev接口、选择器和执行器分工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S13</w:t>
            </w:r>
          </w:p>
        </w:tc>
        <w:tc>
          <w:tcPr>
            <w:tcW w:type="dxa" w:w="66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同周/2026-10-13-VLM-VLA双脑架构与推理优化调研.md</w:t>
            </w:r>
          </w:p>
        </w:tc>
        <w:tc>
          <w:tcPr>
            <w:tcW w:type="dxa" w:w="27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架构、异频调度与受控消融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S14</w:t>
            </w:r>
          </w:p>
        </w:tc>
        <w:tc>
          <w:tcPr>
            <w:tcW w:type="dxa" w:w="66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同周/2026-10-13-具身VLM推理的芯片加速单元与验证路径.md</w:t>
            </w:r>
          </w:p>
        </w:tc>
        <w:tc>
          <w:tcPr>
            <w:tcW w:type="dxa" w:w="279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计算单元与profile路径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S15</w:t>
            </w:r>
          </w:p>
        </w:tc>
        <w:tc>
          <w:tcPr>
            <w:tcW w:type="dxa" w:w="66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同周/2026-10-13-910B3本地VLM首批32次推理基线执行方案.md</w:t>
            </w:r>
          </w:p>
        </w:tc>
        <w:tc>
          <w:tcPr>
            <w:tcW w:type="dxa" w:w="279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32次固定请求实验计划，非已跑性能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S16</w:t>
            </w:r>
          </w:p>
        </w:tc>
        <w:tc>
          <w:tcPr>
            <w:tcW w:type="dxa" w:w="662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2026-10-14用户补充：MT的最新low think实验反馈，think 4.6s降至1.4s</w:t>
            </w:r>
          </w:p>
        </w:tc>
        <w:tc>
          <w:tcPr>
            <w:tcW w:type="dxa" w:w="2794"/>
            <w:vAlign w:val="center"/>
            <w:shd w:fill="F2F5F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before="0" w:line="254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E4；待附配置、样本量、阶段时钟与任务结果</w:t>
            </w:r>
          </w:p>
        </w:tc>
      </w:tr>
    </w:tbl>
    <w:p>
      <w:pPr>
        <w:spacing w:after="0"/>
      </w:pPr>
    </w:p>
    <w:p>
      <w:pPr>
        <w:pStyle w:val="Heading2"/>
      </w:pPr>
      <w:r>
        <w:t>源码与官方资料</w:t>
      </w:r>
    </w:p>
    <w:p>
      <w:pPr>
        <w:widowControl/>
      </w:pPr>
      <w:r>
        <w:rPr>
          <w:rFonts w:ascii="Arial" w:hAnsi="Arial" w:eastAsia="Hiragino Sans GB"/>
          <w:b w:val="0"/>
          <w:color w:val="000000"/>
        </w:rPr>
        <w:t>J1 固定版本FBddcz/embodied-jev@f08de2e4e20d6cd69fea9c57ac1062c3ef510f1e。policies.py第277–422行：API请求与返回；libero_supervisor.py第101–289行：视觉候选、selector与数值伺服；policies.py第509–534行：本地MiniCPM候选logits路径。〔E1〕</w:t>
      </w:r>
    </w:p>
    <w:p>
      <w:pPr>
        <w:spacing w:after="80"/>
      </w:pPr>
      <w:hyperlink r:id="rId12">
        <w:r>
          <w:rPr>
            <w:rFonts w:ascii="Arial" w:eastAsia="Hiragino Sans GB"/>
            <w:sz w:val="18"/>
            <w:color w:val="1C526C"/>
          </w:rPr>
          <w:t>J1 EmbodiedJev 固定源码与接口</w:t>
        </w:r>
      </w:hyperlink>
    </w:p>
    <w:p>
      <w:pPr>
        <w:spacing w:after="80"/>
      </w:pPr>
      <w:hyperlink r:id="rId13">
        <w:r>
          <w:rPr>
            <w:rFonts w:ascii="Arial" w:eastAsia="Hiragino Sans GB"/>
            <w:sz w:val="18"/>
            <w:color w:val="1C526C"/>
          </w:rPr>
          <w:t>J2 TypeSafe System One 与 Models 官方说明</w:t>
        </w:r>
      </w:hyperlink>
    </w:p>
    <w:p>
      <w:pPr>
        <w:spacing w:after="80"/>
      </w:pPr>
      <w:hyperlink r:id="rId14">
        <w:r>
          <w:rPr>
            <w:rFonts w:ascii="Arial" w:eastAsia="Hiragino Sans GB"/>
            <w:sz w:val="18"/>
            <w:color w:val="1C526C"/>
          </w:rPr>
          <w:t>W1 Hi Robot 论文 2025</w:t>
        </w:r>
      </w:hyperlink>
    </w:p>
    <w:p>
      <w:pPr>
        <w:spacing w:after="80"/>
      </w:pPr>
      <w:hyperlink r:id="rId15">
        <w:r>
          <w:rPr>
            <w:rFonts w:ascii="Arial" w:eastAsia="Hiragino Sans GB"/>
            <w:sz w:val="18"/>
            <w:color w:val="1C526C"/>
          </w:rPr>
          <w:t>W2 Figure Helix 官方技术说明 2025</w:t>
        </w:r>
      </w:hyperlink>
    </w:p>
    <w:p>
      <w:pPr>
        <w:spacing w:after="80"/>
      </w:pPr>
      <w:hyperlink r:id="rId16">
        <w:r>
          <w:rPr>
            <w:rFonts w:ascii="Arial" w:eastAsia="Hiragino Sans GB"/>
            <w:sz w:val="18"/>
            <w:color w:val="1C526C"/>
          </w:rPr>
          <w:t>W3 Real Time Execution of Action Chunking Flow Policies 2025</w:t>
        </w:r>
      </w:hyperlink>
    </w:p>
    <w:p>
      <w:pPr>
        <w:widowControl/>
      </w:pPr>
      <w:r>
        <w:rPr>
          <w:rFonts w:ascii="Arial" w:hAnsi="Arial" w:eastAsia="Hiragino Sans GB"/>
          <w:b w:val="0"/>
          <w:color w:val="555555"/>
          <w:sz w:val="17"/>
        </w:rPr>
        <w:t>官方资料访问日2026-10-14。J2与W1–W3均为E3文档/论文证据，支持接口和技术方向判断，不构成本项目性能复现。</w:t>
      </w:r>
    </w:p>
    <w:sectPr w:rsidR="00FC693F" w:rsidRPr="0006063C" w:rsidSect="00034616">
      <w:footerReference w:type="default" r:id="rId9"/>
      <w:pgSz w:w="12240" w:h="15840"/>
      <w:pgMar w:top="965" w:right="1051" w:bottom="922" w:left="1051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color w:val="777777"/>
        <w:sz w:val="16"/>
      </w:rPr>
      <w:t xml:space="preserve">具身智能推理性能评估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  <w:ind w:left="0" w:firstLine="0"/>
      <w:jc w:val="left"/>
    </w:pPr>
    <w:rPr>
      <w:rFonts w:ascii="Arial" w:hAnsi="Arial" w:eastAsia="Hiragino Sans GB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 w:line="269" w:lineRule="auto"/>
      <w:ind w:left="0" w:firstLine="0"/>
      <w:jc w:val="left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 w:line="269" w:lineRule="auto"/>
      <w:ind w:left="0" w:firstLine="0"/>
      <w:jc w:val="left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 w:line="269" w:lineRule="auto"/>
      <w:ind w:left="0" w:firstLine="0"/>
      <w:jc w:val="left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69" w:lineRule="auto"/>
      <w:ind w:left="0" w:firstLine="0"/>
      <w:contextualSpacing/>
      <w:jc w:val="left"/>
    </w:pPr>
    <w:rPr>
      <w:rFonts w:asciiTheme="majorHAnsi" w:eastAsiaTheme="majorEastAsia" w:hAnsiTheme="majorHAnsi" w:cstheme="majorBidi" w:ascii="Arial" w:hAnsi="Arial" w:eastAsia="Hiragino Sans GB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269" w:lineRule="auto"/>
      <w:ind w:left="0" w:firstLine="0"/>
      <w:jc w:val="left"/>
    </w:pPr>
    <w:rPr>
      <w:rFonts w:asciiTheme="majorHAnsi" w:eastAsiaTheme="majorEastAsia" w:hAnsiTheme="majorHAnsi" w:cstheme="majorBidi" w:ascii="Arial" w:hAnsi="Arial" w:eastAsia="Hiragino Sans GB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FBddcz/embodied-jev/blob/f08de2e4e20d6cd69fea9c57ac1062c3ef510f1e/src/embodied_jev/policies.py#L277-L422" TargetMode="External"/><Relationship Id="rId13" Type="http://schemas.openxmlformats.org/officeDocument/2006/relationships/hyperlink" Target="https://docs.typesafe.ai/concepts/system-one" TargetMode="External"/><Relationship Id="rId14" Type="http://schemas.openxmlformats.org/officeDocument/2006/relationships/hyperlink" Target="https://arxiv.org/abs/2502.19417v2" TargetMode="External"/><Relationship Id="rId15" Type="http://schemas.openxmlformats.org/officeDocument/2006/relationships/hyperlink" Target="https://www.figure.ai/news/helix" TargetMode="External"/><Relationship Id="rId16" Type="http://schemas.openxmlformats.org/officeDocument/2006/relationships/hyperlink" Target="https://arxiv.org/abs/2506.07339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具身智能推理性能评估与优化完整报告</dc:title>
  <dc:subject>v2.0 实验成果、细粒度耗时、质量约束与候选路线比较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