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INTEGRACIONES Y CONTROLES PENDIENTES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Integraciones Y Controles Pendientes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TIC-MAN-INT-01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r>
        <w:t>Este documento separa lo que ya está operativo de lo que debe parametrizarse o fortalecerse antes de una puesta en producción definitiva.</w:t>
      </w:r>
    </w:p>
    <w:p>
      <w:pPr>
        <w:pStyle w:val="Heading2"/>
      </w:pPr>
      <w:r>
        <w:t>1. Notificaciones Por Correo</w:t>
      </w:r>
    </w:p>
    <w:p>
      <w:r>
        <w:t>Estado: pendiente de parametrización.</w:t>
      </w:r>
    </w:p>
    <w:p>
      <w:r>
        <w:t>Requisito:</w:t>
      </w:r>
    </w:p>
    <w:p>
      <w:pPr>
        <w:pStyle w:val="ListBullet"/>
      </w:pPr>
      <w:r>
        <w:t>Definir correo remitente SMTP.</w:t>
      </w:r>
    </w:p>
    <w:p>
      <w:pPr>
        <w:pStyle w:val="ListBullet"/>
      </w:pPr>
      <w:r>
        <w:t>Definir correo del técnico responsable.</w:t>
      </w:r>
    </w:p>
    <w:p>
      <w:pPr>
        <w:pStyle w:val="ListBullet"/>
      </w:pPr>
      <w:r>
        <w:t>Definir correo del administrador que recibirá copia.</w:t>
      </w:r>
    </w:p>
    <w:p>
      <w:pPr>
        <w:pStyle w:val="ListBullet"/>
      </w:pPr>
      <w:r>
        <w:t>Configurar variables de entorno:</w:t>
      </w:r>
    </w:p>
    <w:p>
      <w:pPr>
        <w:pStyle w:val="ListBullet"/>
      </w:pPr>
      <w:r>
        <w:t>EMAIL_ENABLED</w:t>
      </w:r>
    </w:p>
    <w:p>
      <w:pPr>
        <w:pStyle w:val="ListBullet"/>
      </w:pPr>
      <w:r>
        <w:t>EMAIL_SMTP_HOST</w:t>
      </w:r>
    </w:p>
    <w:p>
      <w:pPr>
        <w:pStyle w:val="ListBullet"/>
      </w:pPr>
      <w:r>
        <w:t>EMAIL_SMTP_PORT</w:t>
      </w:r>
    </w:p>
    <w:p>
      <w:pPr>
        <w:pStyle w:val="ListBullet"/>
      </w:pPr>
      <w:r>
        <w:t>EMAIL_SMTP_USER</w:t>
      </w:r>
    </w:p>
    <w:p>
      <w:pPr>
        <w:pStyle w:val="ListBullet"/>
      </w:pPr>
      <w:r>
        <w:t>EMAIL_SMTP_PASSWORD</w:t>
      </w:r>
    </w:p>
    <w:p>
      <w:pPr>
        <w:pStyle w:val="ListBullet"/>
      </w:pPr>
      <w:r>
        <w:t>EMAIL_FROM_ADDRESS</w:t>
      </w:r>
    </w:p>
    <w:p>
      <w:pPr>
        <w:pStyle w:val="ListBullet"/>
      </w:pPr>
      <w:r>
        <w:t>EMAIL_FROM_NAME</w:t>
      </w:r>
    </w:p>
    <w:p>
      <w:pPr>
        <w:pStyle w:val="ListBullet"/>
      </w:pPr>
      <w:r>
        <w:t>EMAIL_TICKET_RECIPIENTS</w:t>
      </w:r>
    </w:p>
    <w:p>
      <w:r>
        <w:t>Uso esperado:</w:t>
      </w:r>
    </w:p>
    <w:p>
      <w:pPr>
        <w:pStyle w:val="ListBullet"/>
      </w:pPr>
      <w:r>
        <w:t>Enviar notificación cuando se cree un ticket.</w:t>
      </w:r>
    </w:p>
    <w:p>
      <w:pPr>
        <w:pStyle w:val="ListBullet"/>
      </w:pPr>
      <w:r>
        <w:t>Enviar notificación cuando un ticket cambie de estado.</w:t>
      </w:r>
    </w:p>
    <w:p>
      <w:pPr>
        <w:pStyle w:val="ListBullet"/>
      </w:pPr>
      <w:r>
        <w:t>Enviar notificación cuando el stock de consumibles llegue a nivel bajo.</w:t>
      </w:r>
    </w:p>
    <w:p>
      <w:pPr>
        <w:pStyle w:val="Heading2"/>
      </w:pPr>
      <w:r>
        <w:t>2. Dominio Oficial</w:t>
      </w:r>
    </w:p>
    <w:p>
      <w:r>
        <w:t>Estado: pendiente de decisión institucional.</w:t>
      </w:r>
    </w:p>
    <w:p>
      <w:r>
        <w:t>Opciones:</w:t>
      </w:r>
    </w:p>
    <w:p>
      <w:pPr>
        <w:pStyle w:val="ListBullet"/>
      </w:pPr>
      <w:r>
        <w:t>Usar dominio institucional si la Alcaldía lo autoriza.</w:t>
      </w:r>
    </w:p>
    <w:p>
      <w:pPr>
        <w:pStyle w:val="ListBullet"/>
      </w:pPr>
      <w:r>
        <w:t>Usar subdominio técnico administrado temporalmente.</w:t>
      </w:r>
    </w:p>
    <w:p>
      <w:pPr>
        <w:pStyle w:val="ListBullet"/>
      </w:pPr>
      <w:r>
        <w:t>Mantener sslip.io solo para pruebas, no como URL final institucional.</w:t>
      </w:r>
    </w:p>
    <w:p>
      <w:pPr>
        <w:pStyle w:val="Heading2"/>
      </w:pPr>
      <w:r>
        <w:t>3. Copias De Seguridad</w:t>
      </w:r>
    </w:p>
    <w:p>
      <w:r>
        <w:t>Estado: recomendado antes de producción estable.</w:t>
      </w:r>
    </w:p>
    <w:p>
      <w:r>
        <w:t>Acciones sugeridas:</w:t>
      </w:r>
    </w:p>
    <w:p>
      <w:pPr>
        <w:pStyle w:val="ListBullet"/>
      </w:pPr>
      <w:r>
        <w:t>Programar respaldo diario de PostgreSQL.</w:t>
      </w:r>
    </w:p>
    <w:p>
      <w:pPr>
        <w:pStyle w:val="ListBullet"/>
      </w:pPr>
      <w:r>
        <w:t>Guardar respaldo fuera del servidor.</w:t>
      </w:r>
    </w:p>
    <w:p>
      <w:pPr>
        <w:pStyle w:val="ListBullet"/>
      </w:pPr>
      <w:r>
        <w:t>Probar restauración al menos una vez al mes.</w:t>
      </w:r>
    </w:p>
    <w:p>
      <w:pPr>
        <w:pStyle w:val="Heading2"/>
      </w:pPr>
      <w:r>
        <w:t>4. Certificado HTTPS Definitivo</w:t>
      </w:r>
    </w:p>
    <w:p>
      <w:r>
        <w:t>Estado: operativo con Caddy en dominio público, pero depende del dominio final.</w:t>
      </w:r>
    </w:p>
    <w:p>
      <w:r>
        <w:t>Cuando exista dominio oficial, Caddy debe emitir el certificado para ese dominio y redirigir tráfico HTTP a HTTPS.</w:t>
      </w:r>
    </w:p>
    <w:p>
      <w:pPr>
        <w:pStyle w:val="Heading2"/>
      </w:pPr>
      <w:r>
        <w:t>5. Manuales En PDF O Word</w:t>
      </w:r>
    </w:p>
    <w:p>
      <w:r>
        <w:t>Estado: documentos base creados en Markdown.</w:t>
      </w:r>
    </w:p>
    <w:p>
      <w:r>
        <w:t>Siguiente paso:</w:t>
      </w:r>
    </w:p>
    <w:p>
      <w:pPr>
        <w:pStyle w:val="ListBullet"/>
      </w:pPr>
      <w:r>
        <w:t>Convertir estos manuales a PDF o Word institucional.</w:t>
      </w:r>
    </w:p>
    <w:p>
      <w:pPr>
        <w:pStyle w:val="ListBullet"/>
      </w:pPr>
      <w:r>
        <w:t>Agregar portada, logo oficial, versión, responsable y control de cambios.</w:t>
      </w:r>
    </w:p>
    <w:p>
      <w:pPr>
        <w:pStyle w:val="Heading2"/>
      </w:pPr>
      <w:r>
        <w:t>6. Política De Firma Electrónica Interna</w:t>
      </w:r>
    </w:p>
    <w:p>
      <w:r>
        <w:t>Estado: funcional en el sistema.</w:t>
      </w:r>
    </w:p>
    <w:p>
      <w:r>
        <w:t>Pendiente:</w:t>
      </w:r>
    </w:p>
    <w:p>
      <w:pPr>
        <w:pStyle w:val="ListBullet"/>
      </w:pPr>
      <w:r>
        <w:t>Definir una nota institucional que indique que la firma escaneada o digitada es válida para trazabilidad interna.</w:t>
      </w:r>
    </w:p>
    <w:p>
      <w:pPr>
        <w:pStyle w:val="ListBullet"/>
      </w:pPr>
      <w:r>
        <w:t>Aclarar que no equivale a firma digital certificada.</w:t>
      </w:r>
    </w:p>
    <w:p>
      <w:pPr>
        <w:pStyle w:val="Heading2"/>
      </w:pPr>
      <w:r>
        <w:t>7. Monitoreo Del Servidor</w:t>
      </w:r>
    </w:p>
    <w:p>
      <w:r>
        <w:t>Estado: recomendado.</w:t>
      </w:r>
    </w:p>
    <w:p>
      <w:r>
        <w:t>Acciones:</w:t>
      </w:r>
    </w:p>
    <w:p>
      <w:pPr>
        <w:pStyle w:val="ListBullet"/>
      </w:pPr>
      <w:r>
        <w:t>Revisar uso de disco.</w:t>
      </w:r>
    </w:p>
    <w:p>
      <w:pPr>
        <w:pStyle w:val="ListBullet"/>
      </w:pPr>
      <w:r>
        <w:t>Revisar estado de contenedores Docker.</w:t>
      </w:r>
    </w:p>
    <w:p>
      <w:pPr>
        <w:pStyle w:val="ListBullet"/>
      </w:pPr>
      <w:r>
        <w:t>Revisar renovación de certificados.</w:t>
      </w:r>
    </w:p>
    <w:p>
      <w:pPr>
        <w:pStyle w:val="ListBullet"/>
      </w:pPr>
      <w:r>
        <w:t>Revisar logs de API ante errores.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512" w:left="1080" w:header="360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49224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-pagina-alcald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9144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INTEGRACIONES Y CONTROLES PENDIENTES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TIC-MAN-INT-01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