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071A3A"/>
          <w:sz w:val="36"/>
        </w:rPr>
        <w:t>MANUAL AUXILIAR ADMINISTRATIVO SAF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A7B6C8"/>
          <w:left w:val="single" w:sz="6" w:space="0" w:color="A7B6C8"/>
          <w:bottom w:val="single" w:sz="6" w:space="0" w:color="A7B6C8"/>
          <w:right w:val="single" w:sz="6" w:space="0" w:color="A7B6C8"/>
          <w:insideH w:val="single" w:sz="6" w:space="0" w:color="A7B6C8"/>
          <w:insideV w:val="single" w:sz="6" w:space="0" w:color="A7B6C8"/>
        </w:tblBorders>
      </w:tblPr>
      <w:tblGrid>
        <w:gridCol w:w="5040"/>
        <w:gridCol w:w="5040"/>
      </w:tblGrid>
      <w:tr>
        <w:tc>
          <w:tcPr>
            <w:tcW w:type="dxa" w:w="1800"/>
            <w:shd w:fill="EAF8EF"/>
          </w:tcPr>
          <w:p>
            <w:r/>
            <w:r>
              <w:rPr>
                <w:rFonts w:ascii="Arial" w:hAnsi="Arial"/>
                <w:b/>
                <w:color w:val="005C2A"/>
                <w:sz w:val="18"/>
              </w:rPr>
              <w:t>Documento</w:t>
            </w:r>
          </w:p>
        </w:tc>
        <w:tc>
          <w:tcPr>
            <w:tcW w:type="dxa" w:w="7560"/>
          </w:tcPr>
          <w:p>
            <w:r/>
            <w:r>
              <w:rPr>
                <w:rFonts w:ascii="Arial" w:hAnsi="Arial"/>
                <w:b w:val="0"/>
                <w:color w:val="071A3A"/>
                <w:sz w:val="18"/>
              </w:rPr>
              <w:t>Manual Auxiliar Administrativo Saf</w:t>
            </w:r>
          </w:p>
        </w:tc>
      </w:tr>
      <w:tr>
        <w:tc>
          <w:tcPr>
            <w:tcW w:type="dxa" w:w="1800"/>
            <w:shd w:fill="EAF8EF"/>
          </w:tcPr>
          <w:p>
            <w:r/>
            <w:r>
              <w:rPr>
                <w:rFonts w:ascii="Arial" w:hAnsi="Arial"/>
                <w:b/>
                <w:color w:val="005C2A"/>
                <w:sz w:val="18"/>
              </w:rPr>
              <w:t>Código</w:t>
            </w:r>
          </w:p>
        </w:tc>
        <w:tc>
          <w:tcPr>
            <w:tcW w:type="dxa" w:w="7560"/>
          </w:tcPr>
          <w:p>
            <w:r/>
            <w:r>
              <w:rPr>
                <w:rFonts w:ascii="Arial" w:hAnsi="Arial"/>
                <w:b w:val="0"/>
                <w:color w:val="071A3A"/>
                <w:sz w:val="18"/>
              </w:rPr>
              <w:t>TIC-MAN-AUXSAF-01</w:t>
            </w:r>
          </w:p>
        </w:tc>
      </w:tr>
      <w:tr>
        <w:tc>
          <w:tcPr>
            <w:tcW w:type="dxa" w:w="1800"/>
            <w:shd w:fill="EAF8EF"/>
          </w:tcPr>
          <w:p>
            <w:r/>
            <w:r>
              <w:rPr>
                <w:rFonts w:ascii="Arial" w:hAnsi="Arial"/>
                <w:b/>
                <w:color w:val="005C2A"/>
                <w:sz w:val="18"/>
              </w:rPr>
              <w:t>Versión</w:t>
            </w:r>
          </w:p>
        </w:tc>
        <w:tc>
          <w:tcPr>
            <w:tcW w:type="dxa" w:w="7560"/>
          </w:tcPr>
          <w:p>
            <w:r/>
            <w:r>
              <w:rPr>
                <w:rFonts w:ascii="Arial" w:hAnsi="Arial"/>
                <w:b w:val="0"/>
                <w:color w:val="071A3A"/>
                <w:sz w:val="18"/>
              </w:rPr>
              <w:t>01</w:t>
            </w:r>
          </w:p>
        </w:tc>
      </w:tr>
      <w:tr>
        <w:tc>
          <w:tcPr>
            <w:tcW w:type="dxa" w:w="1800"/>
            <w:shd w:fill="EAF8EF"/>
          </w:tcPr>
          <w:p>
            <w:r/>
            <w:r>
              <w:rPr>
                <w:rFonts w:ascii="Arial" w:hAnsi="Arial"/>
                <w:b/>
                <w:color w:val="005C2A"/>
                <w:sz w:val="18"/>
              </w:rPr>
              <w:t>Fecha</w:t>
            </w:r>
          </w:p>
        </w:tc>
        <w:tc>
          <w:tcPr>
            <w:tcW w:type="dxa" w:w="7560"/>
          </w:tcPr>
          <w:p>
            <w:r/>
            <w:r>
              <w:rPr>
                <w:rFonts w:ascii="Arial" w:hAnsi="Arial"/>
                <w:b w:val="0"/>
                <w:color w:val="071A3A"/>
                <w:sz w:val="18"/>
              </w:rPr>
              <w:t>Junio de 2026</w:t>
            </w:r>
          </w:p>
        </w:tc>
      </w:tr>
    </w:tbl>
    <w:p/>
    <w:p>
      <w:pPr>
        <w:pStyle w:val="Heading2"/>
      </w:pPr>
      <w:r>
        <w:t>Objetivo Del Rol</w:t>
      </w:r>
    </w:p>
    <w:p>
      <w:r>
        <w:t>El Auxiliar Administrativo SAF apoya la Secretaría Administrativa Financiera en el control operativo de consumibles y en la creación de tickets de soporte.</w:t>
      </w:r>
    </w:p>
    <w:p>
      <w:pPr>
        <w:pStyle w:val="Heading2"/>
      </w:pPr>
      <w:r>
        <w:t>Módulos Disponibles</w:t>
      </w:r>
    </w:p>
    <w:p>
      <w:pPr>
        <w:pStyle w:val="ListBullet"/>
      </w:pPr>
      <w:r>
        <w:t>Consumibles</w:t>
      </w:r>
    </w:p>
    <w:p>
      <w:pPr>
        <w:pStyle w:val="ListBullet"/>
      </w:pPr>
      <w:r>
        <w:t>Mesa de ayuda</w:t>
      </w:r>
    </w:p>
    <w:p>
      <w:pPr>
        <w:pStyle w:val="ListBullet"/>
      </w:pPr>
      <w:r>
        <w:t>Ayuda</w:t>
      </w:r>
    </w:p>
    <w:p>
      <w:pPr>
        <w:pStyle w:val="Heading2"/>
      </w:pPr>
      <w:r>
        <w:t>Actividades Principales</w:t>
      </w:r>
    </w:p>
    <w:p>
      <w:pPr>
        <w:pStyle w:val="Heading3"/>
      </w:pPr>
      <w:r>
        <w:t>Registrar Entrada De Consumibles</w:t>
      </w:r>
    </w:p>
    <w:p>
      <w:pPr>
        <w:pStyle w:val="ListNumber"/>
      </w:pPr>
      <w:r>
        <w:t>Ingrese a Consumibles.</w:t>
      </w:r>
    </w:p>
    <w:p>
      <w:pPr>
        <w:pStyle w:val="ListNumber"/>
      </w:pPr>
      <w:r>
        <w:t>Seleccione el consumible correspondiente.</w:t>
      </w:r>
    </w:p>
    <w:p>
      <w:pPr>
        <w:pStyle w:val="ListNumber"/>
      </w:pPr>
      <w:r>
        <w:t>Registre cantidad recibida, costo si aplica y observación.</w:t>
      </w:r>
    </w:p>
    <w:p>
      <w:pPr>
        <w:pStyle w:val="ListNumber"/>
      </w:pPr>
      <w:r>
        <w:t>Guarde el movimiento.</w:t>
      </w:r>
    </w:p>
    <w:p>
      <w:pPr>
        <w:pStyle w:val="ListNumber"/>
      </w:pPr>
      <w:r>
        <w:t>Verifique que el stock aumente.</w:t>
      </w:r>
    </w:p>
    <w:p>
      <w:pPr>
        <w:pStyle w:val="Heading3"/>
      </w:pPr>
      <w:r>
        <w:t>Registrar Salida De Consumibles</w:t>
      </w:r>
    </w:p>
    <w:p>
      <w:pPr>
        <w:pStyle w:val="ListNumber"/>
      </w:pPr>
      <w:r>
        <w:t>Ingrese a Consumibles.</w:t>
      </w:r>
    </w:p>
    <w:p>
      <w:pPr>
        <w:pStyle w:val="ListNumber"/>
      </w:pPr>
      <w:r>
        <w:t>Seleccione el consumible.</w:t>
      </w:r>
    </w:p>
    <w:p>
      <w:pPr>
        <w:pStyle w:val="ListNumber"/>
      </w:pPr>
      <w:r>
        <w:t>Registre cantidad entregada o usada.</w:t>
      </w:r>
    </w:p>
    <w:p>
      <w:pPr>
        <w:pStyle w:val="ListNumber"/>
      </w:pPr>
      <w:r>
        <w:t>Indique destino, impresora, dependencia o motivo.</w:t>
      </w:r>
    </w:p>
    <w:p>
      <w:pPr>
        <w:pStyle w:val="ListNumber"/>
      </w:pPr>
      <w:r>
        <w:t>Guarde y confirme que el stock disminuya.</w:t>
      </w:r>
    </w:p>
    <w:p>
      <w:pPr>
        <w:pStyle w:val="Heading3"/>
      </w:pPr>
      <w:r>
        <w:t>Crear Ticket</w:t>
      </w:r>
    </w:p>
    <w:p>
      <w:pPr>
        <w:pStyle w:val="ListNumber"/>
      </w:pPr>
      <w:r>
        <w:t>Ingrese a Mesa de ayuda.</w:t>
      </w:r>
    </w:p>
    <w:p>
      <w:pPr>
        <w:pStyle w:val="ListNumber"/>
      </w:pPr>
      <w:r>
        <w:t>Cree una solicitud de soporte.</w:t>
      </w:r>
    </w:p>
    <w:p>
      <w:pPr>
        <w:pStyle w:val="ListNumber"/>
      </w:pPr>
      <w:r>
        <w:t>Describa el problema o requerimiento.</w:t>
      </w:r>
    </w:p>
    <w:p>
      <w:pPr>
        <w:pStyle w:val="ListNumber"/>
      </w:pPr>
      <w:r>
        <w:t>Haga seguimiento al estado.</w:t>
      </w:r>
    </w:p>
    <w:p>
      <w:pPr>
        <w:pStyle w:val="Heading2"/>
      </w:pPr>
      <w:r>
        <w:t>Restricciones Del Rol</w:t>
      </w:r>
    </w:p>
    <w:p>
      <w:r>
        <w:t>Este rol no ve inventario técnico, hojas de vida, reportes generales, configuración ni auditoría. Su operación se concentra en consumibles y tickets.</w:t>
      </w:r>
    </w:p>
    <w:p>
      <w:pPr>
        <w:pStyle w:val="Heading2"/>
      </w:pPr>
      <w:r>
        <w:t>Buenas Prácticas</w:t>
      </w:r>
    </w:p>
    <w:p>
      <w:pPr>
        <w:pStyle w:val="ListBullet"/>
      </w:pPr>
      <w:r>
        <w:t>No registre salidas sin soporte o destino.</w:t>
      </w:r>
    </w:p>
    <w:p>
      <w:pPr>
        <w:pStyle w:val="ListBullet"/>
      </w:pPr>
      <w:r>
        <w:t>Mantenga observaciones claras.</w:t>
      </w:r>
    </w:p>
    <w:p>
      <w:pPr>
        <w:pStyle w:val="ListBullet"/>
      </w:pPr>
      <w:r>
        <w:t>Avise al Secretario Administrativo Financiero cuando un consumible quede en stock bajo.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2232" w:right="1080" w:bottom="1224" w:left="1080" w:header="360" w:footer="36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b/>
        <w:color w:val="4F6685"/>
        <w:sz w:val="16"/>
      </w:rPr>
      <w:t>DESARROLLADO POR ING. CRISTIAN HUMBERTO OVALLE VARÓN</w:t>
    </w:r>
  </w:p>
  <w:p>
    <w:pPr>
      <w:jc w:val="center"/>
    </w:pPr>
    <w:r>
      <w:rPr>
        <w:rFonts w:ascii="Arial" w:hAnsi="Arial"/>
        <w:b/>
        <w:color w:val="005C2A"/>
        <w:sz w:val="16"/>
      </w:rPr>
      <w:t>ALCALDÍA DE SAN CARLOS DE GUAROA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jc w:val="center"/>
      <w:tblLook w:firstColumn="1" w:firstRow="1" w:lastColumn="0" w:lastRow="0" w:noHBand="0" w:noVBand="1" w:val="04A0"/>
      <w:tblBorders>
        <w:top w:val="single" w:sz="8" w:space="0" w:color="222222"/>
        <w:left w:val="single" w:sz="8" w:space="0" w:color="222222"/>
        <w:bottom w:val="single" w:sz="8" w:space="0" w:color="222222"/>
        <w:right w:val="single" w:sz="8" w:space="0" w:color="222222"/>
        <w:insideH w:val="single" w:sz="8" w:space="0" w:color="222222"/>
        <w:insideV w:val="single" w:sz="8" w:space="0" w:color="222222"/>
      </w:tblBorders>
    </w:tblPr>
    <w:tblGrid>
      <w:gridCol w:w="3120"/>
      <w:gridCol w:w="3120"/>
      <w:gridCol w:w="3120"/>
    </w:tblGrid>
    <w:tr>
      <w:tc>
        <w:tcPr>
          <w:tcW w:type="dxa" w:w="1700"/>
          <w:vMerge w:val="restart"/>
          <w:vAlign w:val="center"/>
        </w:tcPr>
        <w:p>
          <w:pPr>
            <w:jc w:val="center"/>
          </w:pPr>
          <w:r>
            <w:drawing>
              <wp:inline xmlns:a="http://schemas.openxmlformats.org/drawingml/2006/main" xmlns:pic="http://schemas.openxmlformats.org/drawingml/2006/picture">
                <wp:extent cx="868680" cy="580122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-alcaldia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68680" cy="580122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4800"/>
          <w:vMerge w:val="restart"/>
          <w:vAlign w:val="center"/>
        </w:tcPr>
        <w:p>
          <w:pPr>
            <w:jc w:val="center"/>
          </w:pPr>
          <w:r/>
          <w:r>
            <w:rPr>
              <w:rFonts w:ascii="Arial" w:hAnsi="Arial"/>
              <w:b/>
              <w:color w:val="071A3A"/>
              <w:sz w:val="22"/>
            </w:rPr>
            <w:t>MANUAL AUXILIAR ADMINISTRATIVO SAF</w:t>
          </w:r>
        </w:p>
      </w:tc>
      <w:tc>
        <w:tcPr>
          <w:tcW w:type="dxa" w:w="2860"/>
          <w:vAlign w:val="center"/>
        </w:tcPr>
        <w:p>
          <w:pPr>
            <w:jc w:val="left"/>
          </w:pPr>
          <w:r/>
          <w:r>
            <w:rPr>
              <w:rFonts w:ascii="Arial" w:hAnsi="Arial"/>
              <w:b/>
              <w:sz w:val="16"/>
            </w:rPr>
            <w:t>CÓDIGO: TIC-MAN-AUXSAF-01</w:t>
          </w:r>
        </w:p>
      </w:tc>
    </w:tr>
    <w:tr>
      <w:tc>
        <w:tcPr>
          <w:tcW w:type="dxa" w:w="1700"/>
          <w:vMerge/>
          <w:vAlign w:val="center"/>
        </w:tcPr>
        <w:p/>
      </w:tc>
      <w:tc>
        <w:tcPr>
          <w:tcW w:type="dxa" w:w="4800"/>
          <w:vMerge/>
          <w:vAlign w:val="center"/>
        </w:tcPr>
        <w:p/>
      </w:tc>
      <w:tc>
        <w:tcPr>
          <w:tcW w:type="dxa" w:w="2860"/>
          <w:vAlign w:val="center"/>
        </w:tcPr>
        <w:p>
          <w:pPr>
            <w:jc w:val="left"/>
          </w:pPr>
          <w:r/>
          <w:r>
            <w:rPr>
              <w:rFonts w:ascii="Arial" w:hAnsi="Arial"/>
              <w:b/>
              <w:sz w:val="16"/>
            </w:rPr>
            <w:t>VERSIÓN: 01</w:t>
          </w:r>
        </w:p>
      </w:tc>
    </w:tr>
    <w:tr>
      <w:tc>
        <w:tcPr>
          <w:tcW w:type="dxa" w:w="1700"/>
          <w:vMerge/>
          <w:vAlign w:val="center"/>
        </w:tcPr>
        <w:p/>
      </w:tc>
      <w:tc>
        <w:tcPr>
          <w:tcW w:type="dxa" w:w="4800"/>
          <w:vMerge/>
          <w:vAlign w:val="center"/>
        </w:tcPr>
        <w:p/>
      </w:tc>
      <w:tc>
        <w:tcPr>
          <w:tcW w:type="dxa" w:w="2860"/>
          <w:vAlign w:val="center"/>
        </w:tcPr>
        <w:p>
          <w:pPr>
            <w:jc w:val="left"/>
          </w:pPr>
          <w:r/>
          <w:r>
            <w:rPr>
              <w:rFonts w:ascii="Arial" w:hAnsi="Arial"/>
              <w:b/>
              <w:sz w:val="16"/>
            </w:rPr>
            <w:t>FECHA: JUNIO DE 2026</w:t>
          </w:r>
        </w:p>
      </w:tc>
    </w:tr>
    <w:tr>
      <w:tc>
        <w:tcPr>
          <w:tcW w:type="dxa" w:w="1700"/>
          <w:vMerge/>
          <w:vAlign w:val="center"/>
        </w:tcPr>
        <w:p/>
      </w:tc>
      <w:tc>
        <w:tcPr>
          <w:tcW w:type="dxa" w:w="4800"/>
          <w:vMerge/>
          <w:vAlign w:val="center"/>
        </w:tcPr>
        <w:p/>
      </w:tc>
      <w:tc>
        <w:tcPr>
          <w:tcW w:type="dxa" w:w="2860"/>
          <w:vAlign w:val="center"/>
        </w:tcPr>
        <w:p>
          <w:pPr>
            <w:jc w:val="left"/>
          </w:pPr>
          <w:r>
            <w:rPr>
              <w:rFonts w:ascii="Arial" w:hAnsi="Arial"/>
              <w:b/>
              <w:color w:val="071A3A"/>
              <w:sz w:val="16"/>
            </w:rPr>
          </w:r>
          <w:r>
            <w:rPr>
              <w:rFonts w:ascii="Arial" w:hAnsi="Arial"/>
              <w:b/>
              <w:color w:val="071A3A"/>
              <w:sz w:val="16"/>
            </w:rPr>
            <w:t xml:space="preserve">PÁGINA: </w:t>
          </w:r>
          <w:r>
            <w:rPr>
              <w:rFonts w:ascii="Arial" w:hAnsi="Arial"/>
              <w:b/>
              <w:color w:val="071A3A"/>
              <w:sz w:val="16"/>
            </w:rPr>
            <w:fldChar w:fldCharType="begin"/>
            <w:instrText xml:space="preserve">PAGE</w:instrText>
            <w:fldChar w:fldCharType="separate"/>
            <w:t>1</w:t>
            <w:fldChar w:fldCharType="end"/>
          </w:r>
          <w:r>
            <w:rPr>
              <w:rFonts w:ascii="Arial" w:hAnsi="Arial"/>
              <w:b/>
              <w:color w:val="071A3A"/>
              <w:sz w:val="16"/>
            </w:rPr>
            <w:t xml:space="preserve"> DE </w:t>
          </w:r>
          <w:r>
            <w:rPr>
              <w:rFonts w:ascii="Arial" w:hAnsi="Arial"/>
              <w:b/>
              <w:color w:val="071A3A"/>
              <w:sz w:val="16"/>
            </w:rPr>
            <w:fldChar w:fldCharType="begin"/>
            <w:instrText xml:space="preserve">NUMPAGES</w:instrText>
            <w:fldChar w:fldCharType="separate"/>
            <w:t>1</w:t>
            <w:fldChar w:fldCharType="end"/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Arial" w:hAnsi="Arial"/>
      <w:color w:val="071A3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60"/>
      <w:outlineLvl w:val="0"/>
    </w:pPr>
    <w:rPr>
      <w:rFonts w:asciiTheme="majorHAnsi" w:eastAsiaTheme="majorEastAsia" w:hAnsiTheme="majorHAnsi" w:cstheme="majorBidi" w:ascii="Arial" w:hAnsi="Arial"/>
      <w:b/>
      <w:bCs/>
      <w:color w:val="071A3A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00"/>
      <w:outlineLvl w:val="1"/>
    </w:pPr>
    <w:rPr>
      <w:rFonts w:asciiTheme="majorHAnsi" w:eastAsiaTheme="majorEastAsia" w:hAnsiTheme="majorHAnsi" w:cstheme="majorBidi" w:ascii="Arial" w:hAnsi="Arial"/>
      <w:b/>
      <w:bCs/>
      <w:color w:val="007A33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Arial" w:hAnsi="Arial"/>
      <w:b/>
      <w:bCs/>
      <w:color w:val="4F6685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