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459BDE">
      <w:pPr>
        <w:pStyle w:val="3"/>
        <w:bidi w:val="0"/>
        <w:jc w:val="center"/>
        <w:rPr>
          <w:b w:val="0"/>
          <w:bCs w:val="0"/>
          <w:color w:val="000000" w:themeColor="text1"/>
          <w:sz w:val="32"/>
          <w:szCs w:val="32"/>
          <w14:textFill>
            <w14:solidFill>
              <w14:schemeClr w14:val="tx1"/>
            </w14:solidFill>
          </w14:textFill>
        </w:rPr>
      </w:pPr>
    </w:p>
    <w:p w14:paraId="17FCBB08">
      <w:pPr>
        <w:rPr>
          <w:b w:val="0"/>
          <w:bCs w:val="0"/>
          <w:color w:val="000000" w:themeColor="text1"/>
          <w:sz w:val="32"/>
          <w:szCs w:val="32"/>
          <w14:textFill>
            <w14:solidFill>
              <w14:schemeClr w14:val="tx1"/>
            </w14:solidFill>
          </w14:textFill>
        </w:rPr>
      </w:pPr>
    </w:p>
    <w:p w14:paraId="6B95CE1D">
      <w:pPr>
        <w:rPr>
          <w:b w:val="0"/>
          <w:bCs w:val="0"/>
          <w:color w:val="000000" w:themeColor="text1"/>
          <w:sz w:val="32"/>
          <w:szCs w:val="32"/>
          <w14:textFill>
            <w14:solidFill>
              <w14:schemeClr w14:val="tx1"/>
            </w14:solidFill>
          </w14:textFill>
        </w:rPr>
      </w:pPr>
    </w:p>
    <w:p w14:paraId="3FB94CB5">
      <w:pPr>
        <w:pStyle w:val="3"/>
        <w:bidi w:val="0"/>
        <w:jc w:val="center"/>
        <w:rPr>
          <w:b w:val="0"/>
          <w:bCs w:val="0"/>
          <w:color w:val="000000" w:themeColor="text1"/>
          <w:sz w:val="44"/>
          <w:szCs w:val="44"/>
          <w14:textFill>
            <w14:solidFill>
              <w14:schemeClr w14:val="tx1"/>
            </w14:solidFill>
          </w14:textFill>
        </w:rPr>
      </w:pPr>
      <w:r>
        <w:rPr>
          <w:b w:val="0"/>
          <w:bCs w:val="0"/>
          <w:color w:val="000000" w:themeColor="text1"/>
          <w:sz w:val="44"/>
          <w:szCs w:val="44"/>
          <w14:textFill>
            <w14:solidFill>
              <w14:schemeClr w14:val="tx1"/>
            </w14:solidFill>
          </w14:textFill>
        </w:rPr>
        <w:t>基于逻辑张量网络（LTNtorch）的 CNF 数学公理多标签分类</w:t>
      </w:r>
    </w:p>
    <w:p w14:paraId="1B2BA7ED">
      <w:pPr>
        <w:spacing w:before="40" w:after="40"/>
        <w:rPr>
          <w:b w:val="0"/>
          <w:bCs w:val="0"/>
        </w:rPr>
      </w:pPr>
    </w:p>
    <w:p w14:paraId="4B9C2E34">
      <w:pPr>
        <w:spacing w:before="40" w:after="40"/>
        <w:rPr>
          <w:b w:val="0"/>
          <w:bCs w:val="0"/>
        </w:rPr>
      </w:pPr>
    </w:p>
    <w:p w14:paraId="6679313E">
      <w:pPr>
        <w:spacing w:before="40" w:after="40"/>
        <w:rPr>
          <w:b w:val="0"/>
          <w:bCs w:val="0"/>
        </w:rPr>
      </w:pPr>
    </w:p>
    <w:p w14:paraId="568ACF59">
      <w:pPr>
        <w:spacing w:before="40" w:after="40"/>
        <w:rPr>
          <w:b w:val="0"/>
          <w:bCs w:val="0"/>
        </w:rPr>
      </w:pPr>
    </w:p>
    <w:p w14:paraId="4E9BB92F">
      <w:pPr>
        <w:spacing w:before="40" w:after="40"/>
        <w:rPr>
          <w:b w:val="0"/>
          <w:bCs w:val="0"/>
        </w:rPr>
      </w:pPr>
    </w:p>
    <w:p w14:paraId="19421C0F">
      <w:pPr>
        <w:spacing w:before="40" w:after="40"/>
        <w:rPr>
          <w:b w:val="0"/>
          <w:bCs w:val="0"/>
        </w:rPr>
      </w:pPr>
    </w:p>
    <w:p w14:paraId="16675A9F">
      <w:pPr>
        <w:spacing w:before="40" w:after="40"/>
        <w:rPr>
          <w:b w:val="0"/>
          <w:bCs w:val="0"/>
        </w:rPr>
      </w:pPr>
    </w:p>
    <w:p w14:paraId="7D62E189">
      <w:pPr>
        <w:spacing w:before="40" w:after="40"/>
        <w:rPr>
          <w:b w:val="0"/>
          <w:bCs w:val="0"/>
        </w:rPr>
      </w:pPr>
    </w:p>
    <w:p w14:paraId="7738802C">
      <w:pPr>
        <w:spacing w:before="40" w:after="40"/>
        <w:rPr>
          <w:b w:val="0"/>
          <w:bCs w:val="0"/>
        </w:rPr>
      </w:pPr>
    </w:p>
    <w:p w14:paraId="33C0736E">
      <w:pPr>
        <w:spacing w:before="40" w:after="40"/>
        <w:rPr>
          <w:b w:val="0"/>
          <w:bCs w:val="0"/>
        </w:rPr>
      </w:pPr>
    </w:p>
    <w:p w14:paraId="34BDC05D">
      <w:pPr>
        <w:spacing w:before="40" w:after="40"/>
        <w:rPr>
          <w:b w:val="0"/>
          <w:bCs w:val="0"/>
        </w:rPr>
      </w:pPr>
    </w:p>
    <w:p w14:paraId="01CA9C53">
      <w:pPr>
        <w:spacing w:before="40" w:after="40"/>
        <w:rPr>
          <w:b w:val="0"/>
          <w:bCs w:val="0"/>
        </w:rPr>
      </w:pPr>
    </w:p>
    <w:p w14:paraId="38239518">
      <w:pPr>
        <w:spacing w:before="40" w:after="40"/>
        <w:rPr>
          <w:b w:val="0"/>
          <w:bCs w:val="0"/>
        </w:rPr>
      </w:pPr>
    </w:p>
    <w:p w14:paraId="5B7F0056">
      <w:pPr>
        <w:spacing w:before="40" w:after="40"/>
        <w:rPr>
          <w:b w:val="0"/>
          <w:bCs w:val="0"/>
        </w:rPr>
      </w:pPr>
    </w:p>
    <w:p w14:paraId="0A72529F">
      <w:pPr>
        <w:spacing w:before="40" w:after="40"/>
        <w:jc w:val="center"/>
        <w:rPr>
          <w:rFonts w:hint="default" w:eastAsia="宋体"/>
          <w:b w:val="0"/>
          <w:bCs w:val="0"/>
          <w:sz w:val="30"/>
          <w:szCs w:val="30"/>
          <w:lang w:val="en-US" w:eastAsia="zh-CN"/>
        </w:rPr>
      </w:pPr>
      <w:r>
        <w:rPr>
          <w:rFonts w:hint="eastAsia" w:eastAsia="宋体"/>
          <w:b w:val="0"/>
          <w:bCs w:val="0"/>
          <w:sz w:val="30"/>
          <w:szCs w:val="30"/>
          <w:lang w:val="en-US" w:eastAsia="zh-CN"/>
        </w:rPr>
        <w:t>姓名：马晓萱</w:t>
      </w:r>
    </w:p>
    <w:p w14:paraId="08901193">
      <w:pPr>
        <w:spacing w:before="40" w:after="40"/>
        <w:rPr>
          <w:b w:val="0"/>
          <w:bCs w:val="0"/>
        </w:rPr>
      </w:pPr>
    </w:p>
    <w:p w14:paraId="4AA6CFFB">
      <w:pPr>
        <w:spacing w:before="40" w:after="40"/>
        <w:rPr>
          <w:b w:val="0"/>
          <w:bCs w:val="0"/>
        </w:rPr>
      </w:pPr>
    </w:p>
    <w:p w14:paraId="5D8269E5">
      <w:pPr>
        <w:spacing w:before="40" w:after="40"/>
        <w:rPr>
          <w:b w:val="0"/>
          <w:bCs w:val="0"/>
        </w:rPr>
      </w:pPr>
    </w:p>
    <w:tbl>
      <w:tblPr>
        <w:tblStyle w:val="11"/>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383F5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1F5C8B" w:sz="2" w:space="0"/>
              <w:left w:val="single" w:color="1F5C8B" w:sz="2" w:space="0"/>
              <w:bottom w:val="single" w:color="1F5C8B" w:sz="2" w:space="0"/>
              <w:right w:val="single" w:color="1F5C8B" w:sz="2" w:space="0"/>
            </w:tcBorders>
            <w:shd w:val="clear" w:color="auto" w:fill="1F3864"/>
            <w:tcMar>
              <w:top w:w="80" w:type="dxa"/>
              <w:left w:w="100" w:type="dxa"/>
              <w:bottom w:w="80" w:type="dxa"/>
              <w:right w:w="100" w:type="dxa"/>
            </w:tcMar>
          </w:tcPr>
          <w:p w14:paraId="720FB79D">
            <w:pPr>
              <w:jc w:val="center"/>
              <w:rPr>
                <w:b w:val="0"/>
                <w:bCs w:val="0"/>
                <w:sz w:val="28"/>
                <w:szCs w:val="28"/>
              </w:rPr>
            </w:pPr>
            <w:r>
              <w:rPr>
                <w:rFonts w:ascii="Arial" w:hAnsi="Arial" w:eastAsia="Arial" w:cs="Arial"/>
                <w:b w:val="0"/>
                <w:bCs w:val="0"/>
                <w:color w:val="FFFFFF"/>
                <w:sz w:val="28"/>
                <w:szCs w:val="28"/>
              </w:rPr>
              <w:t>项目</w:t>
            </w:r>
          </w:p>
        </w:tc>
        <w:tc>
          <w:tcPr>
            <w:tcW w:w="6026" w:type="dxa"/>
            <w:tcBorders>
              <w:top w:val="single" w:color="1F5C8B" w:sz="2" w:space="0"/>
              <w:left w:val="single" w:color="1F5C8B" w:sz="2" w:space="0"/>
              <w:bottom w:val="single" w:color="1F5C8B" w:sz="2" w:space="0"/>
              <w:right w:val="single" w:color="1F5C8B" w:sz="2" w:space="0"/>
            </w:tcBorders>
            <w:shd w:val="clear" w:color="auto" w:fill="1F3864"/>
            <w:tcMar>
              <w:top w:w="80" w:type="dxa"/>
              <w:left w:w="100" w:type="dxa"/>
              <w:bottom w:w="80" w:type="dxa"/>
              <w:right w:w="100" w:type="dxa"/>
            </w:tcMar>
          </w:tcPr>
          <w:p w14:paraId="02E7A681">
            <w:pPr>
              <w:jc w:val="center"/>
              <w:rPr>
                <w:b w:val="0"/>
                <w:bCs w:val="0"/>
                <w:sz w:val="28"/>
                <w:szCs w:val="28"/>
              </w:rPr>
            </w:pPr>
            <w:r>
              <w:rPr>
                <w:rFonts w:ascii="Arial" w:hAnsi="Arial" w:eastAsia="Arial" w:cs="Arial"/>
                <w:b w:val="0"/>
                <w:bCs w:val="0"/>
                <w:color w:val="FFFFFF"/>
                <w:sz w:val="28"/>
                <w:szCs w:val="28"/>
              </w:rPr>
              <w:t>内容</w:t>
            </w:r>
          </w:p>
        </w:tc>
      </w:tr>
      <w:tr w14:paraId="00D0F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3ED83B9">
            <w:pPr>
              <w:jc w:val="center"/>
              <w:rPr>
                <w:b w:val="0"/>
                <w:bCs w:val="0"/>
                <w:sz w:val="28"/>
                <w:szCs w:val="28"/>
              </w:rPr>
            </w:pPr>
            <w:r>
              <w:rPr>
                <w:rFonts w:ascii="Arial" w:hAnsi="Arial" w:eastAsia="Arial" w:cs="Arial"/>
                <w:b w:val="0"/>
                <w:bCs w:val="0"/>
                <w:sz w:val="28"/>
                <w:szCs w:val="28"/>
              </w:rPr>
              <w:t>数据集</w:t>
            </w:r>
          </w:p>
        </w:tc>
        <w:tc>
          <w:tcPr>
            <w:tcW w:w="6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57E3624">
            <w:pPr>
              <w:jc w:val="center"/>
              <w:rPr>
                <w:b w:val="0"/>
                <w:bCs w:val="0"/>
                <w:sz w:val="28"/>
                <w:szCs w:val="28"/>
              </w:rPr>
            </w:pPr>
            <w:r>
              <w:rPr>
                <w:rFonts w:ascii="Arial" w:hAnsi="Arial" w:eastAsia="Arial" w:cs="Arial"/>
                <w:b w:val="0"/>
                <w:bCs w:val="0"/>
                <w:sz w:val="28"/>
                <w:szCs w:val="28"/>
              </w:rPr>
              <w:t>CNF 格式数学公理文件</w:t>
            </w:r>
          </w:p>
        </w:tc>
      </w:tr>
      <w:tr w14:paraId="772AF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B6EF0FC">
            <w:pPr>
              <w:jc w:val="center"/>
              <w:rPr>
                <w:b w:val="0"/>
                <w:bCs w:val="0"/>
                <w:sz w:val="28"/>
                <w:szCs w:val="28"/>
              </w:rPr>
            </w:pPr>
            <w:r>
              <w:rPr>
                <w:rFonts w:ascii="Arial" w:hAnsi="Arial" w:eastAsia="Arial" w:cs="Arial"/>
                <w:b w:val="0"/>
                <w:bCs w:val="0"/>
                <w:sz w:val="28"/>
                <w:szCs w:val="28"/>
              </w:rPr>
              <w:t>公理总数</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9C8E5C1">
            <w:pPr>
              <w:jc w:val="center"/>
              <w:rPr>
                <w:b w:val="0"/>
                <w:bCs w:val="0"/>
                <w:sz w:val="28"/>
                <w:szCs w:val="28"/>
              </w:rPr>
            </w:pPr>
            <w:r>
              <w:rPr>
                <w:rFonts w:ascii="Arial" w:hAnsi="Arial" w:eastAsia="Arial" w:cs="Arial"/>
                <w:b w:val="0"/>
                <w:bCs w:val="0"/>
                <w:sz w:val="28"/>
                <w:szCs w:val="28"/>
              </w:rPr>
              <w:t>4,564 条（训练 3,651 / 测试 913，随机种子 42）</w:t>
            </w:r>
          </w:p>
        </w:tc>
      </w:tr>
      <w:tr w14:paraId="16A9F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043841F">
            <w:pPr>
              <w:jc w:val="center"/>
              <w:rPr>
                <w:b w:val="0"/>
                <w:bCs w:val="0"/>
                <w:sz w:val="28"/>
                <w:szCs w:val="28"/>
              </w:rPr>
            </w:pPr>
            <w:r>
              <w:rPr>
                <w:rFonts w:ascii="Arial" w:hAnsi="Arial" w:eastAsia="Arial" w:cs="Arial"/>
                <w:b w:val="0"/>
                <w:bCs w:val="0"/>
                <w:sz w:val="28"/>
                <w:szCs w:val="28"/>
              </w:rPr>
              <w:t>符号表规模</w:t>
            </w:r>
          </w:p>
        </w:tc>
        <w:tc>
          <w:tcPr>
            <w:tcW w:w="6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FADEDA7">
            <w:pPr>
              <w:jc w:val="center"/>
              <w:rPr>
                <w:b w:val="0"/>
                <w:bCs w:val="0"/>
                <w:sz w:val="28"/>
                <w:szCs w:val="28"/>
              </w:rPr>
            </w:pPr>
            <w:r>
              <w:rPr>
                <w:rFonts w:ascii="Arial" w:hAnsi="Arial" w:eastAsia="Arial" w:cs="Arial"/>
                <w:b w:val="0"/>
                <w:bCs w:val="0"/>
                <w:sz w:val="28"/>
                <w:szCs w:val="28"/>
              </w:rPr>
              <w:t>2,685 个符号</w:t>
            </w:r>
          </w:p>
        </w:tc>
      </w:tr>
      <w:tr w14:paraId="7A46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44F85E7">
            <w:pPr>
              <w:jc w:val="center"/>
              <w:rPr>
                <w:b w:val="0"/>
                <w:bCs w:val="0"/>
                <w:sz w:val="28"/>
                <w:szCs w:val="28"/>
              </w:rPr>
            </w:pPr>
            <w:r>
              <w:rPr>
                <w:rFonts w:ascii="Arial" w:hAnsi="Arial" w:eastAsia="Arial" w:cs="Arial"/>
                <w:b w:val="0"/>
                <w:bCs w:val="0"/>
                <w:sz w:val="28"/>
                <w:szCs w:val="28"/>
              </w:rPr>
              <w:t>谓词数量</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E96D738">
            <w:pPr>
              <w:jc w:val="center"/>
              <w:rPr>
                <w:b w:val="0"/>
                <w:bCs w:val="0"/>
                <w:sz w:val="28"/>
                <w:szCs w:val="28"/>
              </w:rPr>
            </w:pPr>
            <w:r>
              <w:rPr>
                <w:rFonts w:ascii="Arial" w:hAnsi="Arial" w:eastAsia="Arial" w:cs="Arial"/>
                <w:b w:val="0"/>
                <w:bCs w:val="0"/>
                <w:sz w:val="28"/>
                <w:szCs w:val="28"/>
              </w:rPr>
              <w:t>7 个多标签分类谓词</w:t>
            </w:r>
          </w:p>
        </w:tc>
      </w:tr>
      <w:tr w14:paraId="654515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50E47D2">
            <w:pPr>
              <w:jc w:val="center"/>
              <w:rPr>
                <w:b w:val="0"/>
                <w:bCs w:val="0"/>
                <w:sz w:val="28"/>
                <w:szCs w:val="28"/>
              </w:rPr>
            </w:pPr>
            <w:r>
              <w:rPr>
                <w:rFonts w:ascii="Arial" w:hAnsi="Arial" w:eastAsia="Arial" w:cs="Arial"/>
                <w:b w:val="0"/>
                <w:bCs w:val="0"/>
                <w:sz w:val="28"/>
                <w:szCs w:val="28"/>
              </w:rPr>
              <w:t>特征方法</w:t>
            </w:r>
          </w:p>
        </w:tc>
        <w:tc>
          <w:tcPr>
            <w:tcW w:w="6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B6D4824">
            <w:pPr>
              <w:jc w:val="center"/>
              <w:rPr>
                <w:b w:val="0"/>
                <w:bCs w:val="0"/>
                <w:sz w:val="28"/>
                <w:szCs w:val="28"/>
              </w:rPr>
            </w:pPr>
            <w:r>
              <w:rPr>
                <w:rFonts w:ascii="Arial" w:hAnsi="Arial" w:eastAsia="Arial" w:cs="Arial"/>
                <w:b w:val="0"/>
                <w:bCs w:val="0"/>
                <w:sz w:val="28"/>
                <w:szCs w:val="28"/>
              </w:rPr>
              <w:t>TF-IDF（300 维，L2 归一化）</w:t>
            </w:r>
          </w:p>
        </w:tc>
      </w:tr>
      <w:tr w14:paraId="131E3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7DC3B70">
            <w:pPr>
              <w:jc w:val="center"/>
              <w:rPr>
                <w:b w:val="0"/>
                <w:bCs w:val="0"/>
                <w:sz w:val="28"/>
                <w:szCs w:val="28"/>
              </w:rPr>
            </w:pPr>
            <w:r>
              <w:rPr>
                <w:rFonts w:ascii="Arial" w:hAnsi="Arial" w:eastAsia="Arial" w:cs="Arial"/>
                <w:b w:val="0"/>
                <w:bCs w:val="0"/>
                <w:sz w:val="28"/>
                <w:szCs w:val="28"/>
              </w:rPr>
              <w:t>规则数量</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ADA8C92">
            <w:pPr>
              <w:jc w:val="center"/>
              <w:rPr>
                <w:b w:val="0"/>
                <w:bCs w:val="0"/>
                <w:sz w:val="28"/>
                <w:szCs w:val="28"/>
              </w:rPr>
            </w:pPr>
            <w:r>
              <w:rPr>
                <w:rFonts w:ascii="Arial" w:hAnsi="Arial" w:eastAsia="Arial" w:cs="Arial"/>
                <w:b w:val="0"/>
                <w:bCs w:val="0"/>
                <w:sz w:val="28"/>
                <w:szCs w:val="28"/>
              </w:rPr>
              <w:t>5 条一阶逻辑规则知识库</w:t>
            </w:r>
          </w:p>
        </w:tc>
      </w:tr>
      <w:tr w14:paraId="0A295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084FC98">
            <w:pPr>
              <w:jc w:val="center"/>
              <w:rPr>
                <w:b w:val="0"/>
                <w:bCs w:val="0"/>
                <w:sz w:val="28"/>
                <w:szCs w:val="28"/>
              </w:rPr>
            </w:pPr>
            <w:r>
              <w:rPr>
                <w:rFonts w:ascii="Arial" w:hAnsi="Arial" w:eastAsia="Arial" w:cs="Arial"/>
                <w:b w:val="0"/>
                <w:bCs w:val="0"/>
                <w:sz w:val="28"/>
                <w:szCs w:val="28"/>
              </w:rPr>
              <w:t>训练轮数</w:t>
            </w:r>
          </w:p>
        </w:tc>
        <w:tc>
          <w:tcPr>
            <w:tcW w:w="6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D9F91B2">
            <w:pPr>
              <w:jc w:val="center"/>
              <w:rPr>
                <w:b w:val="0"/>
                <w:bCs w:val="0"/>
                <w:sz w:val="28"/>
                <w:szCs w:val="28"/>
              </w:rPr>
            </w:pPr>
            <w:r>
              <w:rPr>
                <w:rFonts w:ascii="Arial" w:hAnsi="Arial" w:eastAsia="Arial" w:cs="Arial"/>
                <w:b w:val="0"/>
                <w:bCs w:val="0"/>
                <w:sz w:val="28"/>
                <w:szCs w:val="28"/>
              </w:rPr>
              <w:t>50 epochs，AdamW + OneCycleLR</w:t>
            </w:r>
          </w:p>
        </w:tc>
      </w:tr>
      <w:tr w14:paraId="3DB92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57DA477">
            <w:pPr>
              <w:jc w:val="center"/>
              <w:rPr>
                <w:b w:val="0"/>
                <w:bCs w:val="0"/>
                <w:sz w:val="28"/>
                <w:szCs w:val="28"/>
              </w:rPr>
            </w:pPr>
            <w:r>
              <w:rPr>
                <w:rFonts w:ascii="Arial" w:hAnsi="Arial" w:eastAsia="Arial" w:cs="Arial"/>
                <w:b w:val="0"/>
                <w:bCs w:val="0"/>
                <w:sz w:val="28"/>
                <w:szCs w:val="28"/>
              </w:rPr>
              <w:t>最终结果</w:t>
            </w:r>
          </w:p>
        </w:tc>
        <w:tc>
          <w:tcPr>
            <w:tcW w:w="6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939FCB0">
            <w:pPr>
              <w:jc w:val="center"/>
              <w:rPr>
                <w:b w:val="0"/>
                <w:bCs w:val="0"/>
                <w:sz w:val="28"/>
                <w:szCs w:val="28"/>
              </w:rPr>
            </w:pPr>
            <w:r>
              <w:rPr>
                <w:rFonts w:ascii="Arial" w:hAnsi="Arial" w:eastAsia="Arial" w:cs="Arial"/>
                <w:b w:val="0"/>
                <w:bCs w:val="0"/>
                <w:sz w:val="28"/>
                <w:szCs w:val="28"/>
              </w:rPr>
              <w:t>Loss=0.1051 | BCE=0.0876 | LTN Sat=0.8542</w:t>
            </w:r>
          </w:p>
        </w:tc>
      </w:tr>
    </w:tbl>
    <w:p w14:paraId="5862DC15">
      <w:pPr>
        <w:spacing w:before="40" w:after="40"/>
        <w:rPr>
          <w:b w:val="0"/>
          <w:bCs w:val="0"/>
        </w:rPr>
      </w:pPr>
    </w:p>
    <w:p w14:paraId="1E467FB2">
      <w:pPr>
        <w:rPr>
          <w:b w:val="0"/>
          <w:bCs w:val="0"/>
        </w:rPr>
      </w:pPr>
      <w:r>
        <w:rPr>
          <w:b w:val="0"/>
          <w:bCs w:val="0"/>
        </w:rPr>
        <w:br w:type="page"/>
      </w:r>
    </w:p>
    <w:p w14:paraId="057652CD">
      <w:pPr>
        <w:pStyle w:val="3"/>
        <w:bidi w:val="0"/>
        <w:rPr>
          <w:b w:val="0"/>
          <w:bCs w:val="0"/>
          <w:color w:val="000000" w:themeColor="text1"/>
          <w14:textFill>
            <w14:solidFill>
              <w14:schemeClr w14:val="tx1"/>
            </w14:solidFill>
          </w14:textFill>
        </w:rPr>
      </w:pPr>
      <w:r>
        <w:rPr>
          <w:b w:val="0"/>
          <w:bCs w:val="0"/>
          <w:color w:val="000000" w:themeColor="text1"/>
          <w14:textFill>
            <w14:solidFill>
              <w14:schemeClr w14:val="tx1"/>
            </w14:solidFill>
          </w14:textFill>
        </w:rPr>
        <w:t>第 1 章  引言</w:t>
      </w:r>
    </w:p>
    <w:p w14:paraId="5FFA944D">
      <w:pPr>
        <w:spacing w:before="60" w:after="100"/>
        <w:ind w:firstLine="480" w:firstLineChars="200"/>
        <w:jc w:val="both"/>
        <w:rPr>
          <w:b w:val="0"/>
          <w:bCs w:val="0"/>
          <w:sz w:val="24"/>
          <w:szCs w:val="24"/>
        </w:rPr>
      </w:pPr>
      <w:r>
        <w:rPr>
          <w:rFonts w:ascii="Arial" w:hAnsi="Arial" w:eastAsia="Arial" w:cs="Arial"/>
          <w:b w:val="0"/>
          <w:bCs w:val="0"/>
          <w:sz w:val="24"/>
          <w:szCs w:val="24"/>
        </w:rPr>
        <w:t>人工智能领域长期存在两大主要范式的对立：以深度神经网络为代表的子符号人工智能（Sub-symbolic AI），以及以逻辑推理为代表的符号人工智能（Symbolic AI）。神经网络擅长从大规模噪声数据中学习统计规律，但其黑盒特性使得推理过程缺乏可解释性，且对训练样本的数量依赖较高。符号方法则具备清晰的逻辑结构和良好的可解释性，支持少样本乃至零样本推理，然而对先验知识的强依赖性和处理统计不确定性能力的不足限制了其应用范围。</w:t>
      </w:r>
    </w:p>
    <w:p w14:paraId="519B0C02">
      <w:pPr>
        <w:spacing w:before="60" w:after="100"/>
        <w:ind w:firstLine="480" w:firstLineChars="200"/>
        <w:jc w:val="both"/>
        <w:rPr>
          <w:b w:val="0"/>
          <w:bCs w:val="0"/>
          <w:sz w:val="24"/>
          <w:szCs w:val="24"/>
        </w:rPr>
      </w:pPr>
      <w:r>
        <w:rPr>
          <w:rFonts w:ascii="Arial" w:hAnsi="Arial" w:eastAsia="Arial" w:cs="Arial"/>
          <w:b w:val="0"/>
          <w:bCs w:val="0"/>
          <w:sz w:val="24"/>
          <w:szCs w:val="24"/>
        </w:rPr>
        <w:t>神经符号整合（Neuro-Symbolic Integration, NeSy）是近年来人工智能研究的重要方向，其核心目标是构建能够融合上述两种范式优势的统一系统（d'Avila Garcez et al., 2009）。Logic Tensor Networks（LTN）（Badreddine et al., 2022）是这一方向的代表性工作，通过将一阶逻辑公式嵌入可微分的计算图，使逻辑知识库可以作为神经模型的学习目标，从而实现逻辑推理引导下的梯度下降优化。LTNtorch（Carraro et al., 2024）是 LTN 的 PyTorch 官方实现，提供了完整的文档与测试框架。</w:t>
      </w:r>
    </w:p>
    <w:p w14:paraId="16D19F03">
      <w:pPr>
        <w:spacing w:before="60" w:after="100"/>
        <w:ind w:firstLine="480" w:firstLineChars="200"/>
        <w:jc w:val="both"/>
        <w:rPr>
          <w:b w:val="0"/>
          <w:bCs w:val="0"/>
          <w:sz w:val="24"/>
          <w:szCs w:val="24"/>
        </w:rPr>
      </w:pPr>
      <w:r>
        <w:rPr>
          <w:rFonts w:ascii="Arial" w:hAnsi="Arial" w:eastAsia="Arial" w:cs="Arial"/>
          <w:b w:val="0"/>
          <w:bCs w:val="0"/>
          <w:sz w:val="24"/>
          <w:szCs w:val="24"/>
        </w:rPr>
        <w:t>本实验将 LTNtorch 框架应用于 CNF（Conjunctive Normal Form）格式数学公理数据集的多标签分类任务。相对于原论文的演示性示例，本实验在真实数据集上面临多项额外挑战：7个谓词的多标签联合预测、极端类别不平衡（正例率从0.5%到81%不等）、以及纯 LTN 训练中出现的预测坍塌（Prediction Collapse）问题。针对上述挑战，本实验提出了包含混合损失函数设计在内的四项关键改进，最终在7个谓词中有5个取得 AUC &gt;= 0.83 的分类性能，逻辑规则总体满足度达到 87.12%。</w:t>
      </w:r>
    </w:p>
    <w:p w14:paraId="6D59C920">
      <w:pPr>
        <w:pStyle w:val="4"/>
        <w:bidi w:val="0"/>
        <w:rPr>
          <w:b w:val="0"/>
          <w:bCs w:val="0"/>
        </w:rPr>
      </w:pPr>
      <w:r>
        <w:rPr>
          <w:b w:val="0"/>
          <w:bCs w:val="0"/>
        </w:rPr>
        <w:t>1.1 研究目标</w:t>
      </w:r>
    </w:p>
    <w:p w14:paraId="7461E151">
      <w:pPr>
        <w:pStyle w:val="16"/>
        <w:numPr>
          <w:ilvl w:val="0"/>
          <w:numId w:val="1"/>
        </w:numPr>
        <w:spacing w:before="40" w:after="40"/>
        <w:rPr>
          <w:b w:val="0"/>
          <w:bCs w:val="0"/>
          <w:sz w:val="24"/>
          <w:szCs w:val="24"/>
        </w:rPr>
      </w:pPr>
      <w:r>
        <w:rPr>
          <w:rFonts w:ascii="Arial" w:hAnsi="Arial" w:eastAsia="Arial" w:cs="Arial"/>
          <w:b w:val="0"/>
          <w:bCs w:val="0"/>
          <w:sz w:val="24"/>
          <w:szCs w:val="24"/>
        </w:rPr>
        <w:t>将 LTNtorch 神经符号框架从单任务演示性场景推广至真实多标签分类任务</w:t>
      </w:r>
    </w:p>
    <w:p w14:paraId="13A696A8">
      <w:pPr>
        <w:pStyle w:val="16"/>
        <w:numPr>
          <w:ilvl w:val="0"/>
          <w:numId w:val="1"/>
        </w:numPr>
        <w:spacing w:before="40" w:after="40"/>
        <w:rPr>
          <w:b w:val="0"/>
          <w:bCs w:val="0"/>
          <w:sz w:val="24"/>
          <w:szCs w:val="24"/>
        </w:rPr>
      </w:pPr>
      <w:r>
        <w:rPr>
          <w:rFonts w:ascii="Arial" w:hAnsi="Arial" w:eastAsia="Arial" w:cs="Arial"/>
          <w:b w:val="0"/>
          <w:bCs w:val="0"/>
          <w:sz w:val="24"/>
          <w:szCs w:val="24"/>
        </w:rPr>
        <w:t>针对 CNF 数学公理数据的特点设计高效特征表示与网络结构</w:t>
      </w:r>
    </w:p>
    <w:p w14:paraId="6CE0ABD3">
      <w:pPr>
        <w:pStyle w:val="16"/>
        <w:numPr>
          <w:ilvl w:val="0"/>
          <w:numId w:val="1"/>
        </w:numPr>
        <w:spacing w:before="40" w:after="40"/>
        <w:rPr>
          <w:b w:val="0"/>
          <w:bCs w:val="0"/>
          <w:sz w:val="24"/>
          <w:szCs w:val="24"/>
        </w:rPr>
      </w:pPr>
      <w:r>
        <w:rPr>
          <w:rFonts w:ascii="Arial" w:hAnsi="Arial" w:eastAsia="Arial" w:cs="Arial"/>
          <w:b w:val="0"/>
          <w:bCs w:val="0"/>
          <w:sz w:val="24"/>
          <w:szCs w:val="24"/>
        </w:rPr>
        <w:t>解决多标签、极端类别不平衡场景下纯 LTN 训练的预测坍塌问题</w:t>
      </w:r>
    </w:p>
    <w:p w14:paraId="54C1EC33">
      <w:pPr>
        <w:pStyle w:val="16"/>
        <w:numPr>
          <w:ilvl w:val="0"/>
          <w:numId w:val="1"/>
        </w:numPr>
        <w:spacing w:before="40" w:after="40"/>
        <w:rPr>
          <w:b w:val="0"/>
          <w:bCs w:val="0"/>
          <w:sz w:val="24"/>
          <w:szCs w:val="24"/>
        </w:rPr>
      </w:pPr>
      <w:r>
        <w:rPr>
          <w:rFonts w:ascii="Arial" w:hAnsi="Arial" w:eastAsia="Arial" w:cs="Arial"/>
          <w:b w:val="0"/>
          <w:bCs w:val="0"/>
          <w:sz w:val="24"/>
          <w:szCs w:val="24"/>
        </w:rPr>
        <w:t>定量评估改进方案的有效性，验证神经符号框架在形式逻辑数据上的实际可行性</w:t>
      </w:r>
    </w:p>
    <w:p w14:paraId="7CEC7B8E">
      <w:pPr>
        <w:pStyle w:val="4"/>
        <w:bidi w:val="0"/>
        <w:rPr>
          <w:b w:val="0"/>
          <w:bCs w:val="0"/>
        </w:rPr>
      </w:pPr>
      <w:r>
        <w:rPr>
          <w:b w:val="0"/>
          <w:bCs w:val="0"/>
        </w:rPr>
        <w:t>1.2 本文组织结构</w:t>
      </w:r>
    </w:p>
    <w:p w14:paraId="128C4DBC">
      <w:pPr>
        <w:spacing w:before="60" w:after="100"/>
        <w:ind w:firstLine="480" w:firstLineChars="200"/>
        <w:jc w:val="both"/>
        <w:rPr>
          <w:b w:val="0"/>
          <w:bCs w:val="0"/>
          <w:sz w:val="24"/>
          <w:szCs w:val="24"/>
        </w:rPr>
      </w:pPr>
      <w:r>
        <w:rPr>
          <w:rFonts w:ascii="Arial" w:hAnsi="Arial" w:eastAsia="Arial" w:cs="Arial"/>
          <w:b w:val="0"/>
          <w:bCs w:val="0"/>
          <w:sz w:val="24"/>
          <w:szCs w:val="24"/>
        </w:rPr>
        <w:t>第2章介绍 LTN 的理论背景与原论文核心方法；第3章描述数据集与特征工程；第4章详述本实验相对于原论文的改进方法；第5章说明主要计算方法；第6章呈现并分析实验结果；第7章从改进成功性角度综合评估本实验；第8章给出结论与展望。</w:t>
      </w:r>
    </w:p>
    <w:p w14:paraId="5B6B12C4">
      <w:pPr>
        <w:spacing w:before="40" w:after="40"/>
        <w:rPr>
          <w:b w:val="0"/>
          <w:bCs w:val="0"/>
        </w:rPr>
      </w:pPr>
    </w:p>
    <w:p w14:paraId="4A4039FE">
      <w:pPr>
        <w:rPr>
          <w:b w:val="0"/>
          <w:bCs w:val="0"/>
        </w:rPr>
      </w:pPr>
      <w:r>
        <w:rPr>
          <w:b w:val="0"/>
          <w:bCs w:val="0"/>
        </w:rPr>
        <w:br w:type="page"/>
      </w:r>
    </w:p>
    <w:p w14:paraId="3D396099">
      <w:pPr>
        <w:pStyle w:val="3"/>
        <w:bidi w:val="0"/>
        <w:rPr>
          <w:b w:val="0"/>
          <w:bCs w:val="0"/>
        </w:rPr>
      </w:pPr>
      <w:r>
        <w:rPr>
          <w:b w:val="0"/>
          <w:bCs w:val="0"/>
        </w:rPr>
        <w:t>第 2 章  理论背景</w:t>
      </w:r>
    </w:p>
    <w:p w14:paraId="435B87A8">
      <w:pPr>
        <w:pStyle w:val="4"/>
        <w:bidi w:val="0"/>
        <w:rPr>
          <w:b w:val="0"/>
          <w:bCs w:val="0"/>
        </w:rPr>
      </w:pPr>
      <w:r>
        <w:rPr>
          <w:b w:val="0"/>
          <w:bCs w:val="0"/>
        </w:rPr>
        <w:t>2.1 神经符号整合简介</w:t>
      </w:r>
    </w:p>
    <w:p w14:paraId="16FA0384">
      <w:pPr>
        <w:spacing w:before="60" w:after="100"/>
        <w:ind w:firstLine="480" w:firstLineChars="200"/>
        <w:jc w:val="both"/>
        <w:rPr>
          <w:b w:val="0"/>
          <w:bCs w:val="0"/>
        </w:rPr>
      </w:pPr>
      <w:r>
        <w:rPr>
          <w:rFonts w:ascii="Arial" w:hAnsi="Arial" w:eastAsia="Arial" w:cs="Arial"/>
          <w:b w:val="0"/>
          <w:bCs w:val="0"/>
          <w:sz w:val="24"/>
          <w:szCs w:val="24"/>
        </w:rPr>
        <w:t>神经符号整合（NeSy）是人工智能的交叉研究领域，旨在结合深度学习（感知、模式匹配、对噪声鲁棒）与符号推理（可解释、支持逻辑约束、知识可表达）的优势。LTN 是当前 NeSy 框架中最具代表性的方法之一，其设计思路为：将一阶逻辑知识库作为神经模型的训练约束，通过模糊逻辑语义使整个逻辑推理过程可微分，从而可以使用梯度下降直接优化知识库满足度。</w:t>
      </w:r>
    </w:p>
    <w:p w14:paraId="18AD9A8B">
      <w:pPr>
        <w:pStyle w:val="4"/>
        <w:bidi w:val="0"/>
        <w:rPr>
          <w:b w:val="0"/>
          <w:bCs w:val="0"/>
        </w:rPr>
      </w:pPr>
      <w:r>
        <w:rPr>
          <w:b w:val="0"/>
          <w:bCs w:val="0"/>
        </w:rPr>
        <w:t>2.2 Real Logic 语言</w:t>
      </w:r>
    </w:p>
    <w:p w14:paraId="52328D61">
      <w:pPr>
        <w:spacing w:before="60" w:after="100"/>
        <w:ind w:firstLine="480" w:firstLineChars="200"/>
        <w:jc w:val="both"/>
        <w:rPr>
          <w:b w:val="0"/>
          <w:bCs w:val="0"/>
          <w:sz w:val="24"/>
          <w:szCs w:val="24"/>
        </w:rPr>
      </w:pPr>
      <w:r>
        <w:rPr>
          <w:rFonts w:ascii="Arial" w:hAnsi="Arial" w:eastAsia="Arial" w:cs="Arial"/>
          <w:b w:val="0"/>
          <w:bCs w:val="0"/>
          <w:sz w:val="24"/>
          <w:szCs w:val="24"/>
        </w:rPr>
        <w:t>LTN 使用一种称为 Real Logic 的一阶语言（Badreddine et al., 2022），其完整签名包含常量符号（constants）、变量符号（variables）、函数符号（functions）和谓词符号（predicates）。项（term）由常量、变量和函数符号递归构造；原子公式（atomic formula）是将谓词符号应用于若干项所形成的表达式；复杂公式通过连接词和量词递归构造。</w:t>
      </w:r>
    </w:p>
    <w:p w14:paraId="3DA9733A">
      <w:pPr>
        <w:spacing w:before="60" w:after="100"/>
        <w:ind w:firstLine="480" w:firstLineChars="200"/>
        <w:jc w:val="both"/>
        <w:rPr>
          <w:b w:val="0"/>
          <w:bCs w:val="0"/>
          <w:sz w:val="24"/>
          <w:szCs w:val="24"/>
        </w:rPr>
      </w:pPr>
      <w:r>
        <w:rPr>
          <w:rFonts w:ascii="Arial" w:hAnsi="Arial" w:eastAsia="Arial" w:cs="Arial"/>
          <w:b w:val="0"/>
          <w:bCs w:val="0"/>
          <w:sz w:val="24"/>
          <w:szCs w:val="24"/>
        </w:rPr>
        <w:t>Real Logic 的关键特性在于其 Grounding 机制（G）：通过映射函数 G 将所有逻辑符号映射到实数域，使得逻辑推理的每个步骤都对应一次可微的数值计算：</w:t>
      </w:r>
    </w:p>
    <w:p w14:paraId="4B2FFF14">
      <w:pPr>
        <w:pStyle w:val="16"/>
        <w:numPr>
          <w:ilvl w:val="0"/>
          <w:numId w:val="1"/>
        </w:numPr>
        <w:spacing w:before="40" w:after="40"/>
        <w:rPr>
          <w:b w:val="0"/>
          <w:bCs w:val="0"/>
          <w:sz w:val="24"/>
          <w:szCs w:val="24"/>
        </w:rPr>
      </w:pPr>
      <w:r>
        <w:rPr>
          <w:rFonts w:ascii="Arial" w:hAnsi="Arial" w:eastAsia="Arial" w:cs="Arial"/>
          <w:b w:val="0"/>
          <w:bCs w:val="0"/>
          <w:sz w:val="24"/>
          <w:szCs w:val="24"/>
        </w:rPr>
        <w:t>G(常量) → 实数特征张量（例如样本特征向量或可学习嵌入）</w:t>
      </w:r>
    </w:p>
    <w:p w14:paraId="791B3DAB">
      <w:pPr>
        <w:pStyle w:val="16"/>
        <w:numPr>
          <w:ilvl w:val="0"/>
          <w:numId w:val="1"/>
        </w:numPr>
        <w:spacing w:before="40" w:after="40"/>
        <w:rPr>
          <w:b w:val="0"/>
          <w:bCs w:val="0"/>
          <w:sz w:val="24"/>
          <w:szCs w:val="24"/>
        </w:rPr>
      </w:pPr>
      <w:r>
        <w:rPr>
          <w:rFonts w:ascii="Arial" w:hAnsi="Arial" w:eastAsia="Arial" w:cs="Arial"/>
          <w:b w:val="0"/>
          <w:bCs w:val="0"/>
          <w:sz w:val="24"/>
          <w:szCs w:val="24"/>
        </w:rPr>
        <w:t>G(函数) → 实数值函数（例如回归网络）</w:t>
      </w:r>
    </w:p>
    <w:p w14:paraId="573AFC45">
      <w:pPr>
        <w:pStyle w:val="16"/>
        <w:numPr>
          <w:ilvl w:val="0"/>
          <w:numId w:val="1"/>
        </w:numPr>
        <w:spacing w:before="40" w:after="40"/>
        <w:rPr>
          <w:b w:val="0"/>
          <w:bCs w:val="0"/>
          <w:sz w:val="24"/>
          <w:szCs w:val="24"/>
        </w:rPr>
      </w:pPr>
      <w:r>
        <w:rPr>
          <w:rFonts w:ascii="Arial" w:hAnsi="Arial" w:eastAsia="Arial" w:cs="Arial"/>
          <w:b w:val="0"/>
          <w:bCs w:val="0"/>
          <w:sz w:val="24"/>
          <w:szCs w:val="24"/>
        </w:rPr>
        <w:t>G(谓词) → 输出在区间 [0,1] 内的实数函数（例如分类器，经 Sigmoid 激活）</w:t>
      </w:r>
    </w:p>
    <w:p w14:paraId="7ACE2EF3">
      <w:pPr>
        <w:pStyle w:val="16"/>
        <w:numPr>
          <w:ilvl w:val="0"/>
          <w:numId w:val="1"/>
        </w:numPr>
        <w:spacing w:before="40" w:after="40"/>
        <w:rPr>
          <w:b w:val="0"/>
          <w:bCs w:val="0"/>
        </w:rPr>
      </w:pPr>
      <w:r>
        <w:rPr>
          <w:rFonts w:ascii="Arial" w:hAnsi="Arial" w:eastAsia="Arial" w:cs="Arial"/>
          <w:b w:val="0"/>
          <w:bCs w:val="0"/>
          <w:sz w:val="24"/>
          <w:szCs w:val="24"/>
        </w:rPr>
        <w:t>G(变量 x) → 长度为 n_x 的个体序列（即批次数据），n_x &gt; 0</w:t>
      </w:r>
    </w:p>
    <w:p w14:paraId="289593C5">
      <w:pPr>
        <w:pStyle w:val="4"/>
        <w:bidi w:val="0"/>
        <w:rPr>
          <w:b w:val="0"/>
          <w:bCs w:val="0"/>
        </w:rPr>
      </w:pPr>
      <w:r>
        <w:rPr>
          <w:b w:val="0"/>
          <w:bCs w:val="0"/>
        </w:rPr>
        <w:t>2.3 模糊逻辑语义（Product 配置）</w:t>
      </w:r>
    </w:p>
    <w:p w14:paraId="30A944E4">
      <w:pPr>
        <w:spacing w:before="60" w:after="100"/>
        <w:ind w:firstLine="480" w:firstLineChars="200"/>
        <w:jc w:val="both"/>
        <w:rPr>
          <w:b w:val="0"/>
          <w:bCs w:val="0"/>
          <w:sz w:val="24"/>
          <w:szCs w:val="24"/>
        </w:rPr>
      </w:pPr>
      <w:r>
        <w:rPr>
          <w:rFonts w:ascii="Arial" w:hAnsi="Arial" w:eastAsia="Arial" w:cs="Arial"/>
          <w:b w:val="0"/>
          <w:bCs w:val="0"/>
          <w:sz w:val="24"/>
          <w:szCs w:val="24"/>
        </w:rPr>
        <w:t>为使逻辑算子全程可微，LTN 采用模糊逻辑语义（Fuzzy Logic Semantics）将真值从经典的 {0,1} 扩展到连续区间 [0,1]。LTN 支持 Product、Goedel 和 Lukasiewicz 三种语义配置。本实验采用 Product 语义，van Krieken et al.（2022）证明该配置在梯度优化中表现最佳。</w:t>
      </w:r>
    </w:p>
    <w:p w14:paraId="22508477">
      <w:pPr>
        <w:spacing w:before="60" w:after="100"/>
        <w:ind w:firstLine="480" w:firstLineChars="200"/>
        <w:jc w:val="both"/>
        <w:rPr>
          <w:rFonts w:hint="eastAsia" w:eastAsia="宋体" w:cs="Arial"/>
          <w:b w:val="0"/>
          <w:bCs w:val="0"/>
          <w:sz w:val="24"/>
          <w:szCs w:val="24"/>
          <w:lang w:eastAsia="zh-CN"/>
        </w:rPr>
      </w:pPr>
      <w:r>
        <w:rPr>
          <w:rFonts w:ascii="Arial" w:hAnsi="Arial" w:eastAsia="Arial" w:cs="Arial"/>
          <w:b w:val="0"/>
          <w:bCs w:val="0"/>
          <w:sz w:val="24"/>
          <w:szCs w:val="24"/>
        </w:rPr>
        <w:t>设 u, v ∈ [0,1]，参数 p &gt;= 1，各算子的 Grounding 定义如下</w:t>
      </w:r>
      <w:r>
        <w:rPr>
          <w:rFonts w:hint="eastAsia" w:eastAsia="宋体" w:cs="Arial"/>
          <w:b w:val="0"/>
          <w:bCs w:val="0"/>
          <w:sz w:val="24"/>
          <w:szCs w:val="24"/>
          <w:lang w:eastAsia="zh-CN"/>
        </w:rPr>
        <w:t>。</w:t>
      </w:r>
    </w:p>
    <w:p w14:paraId="4C4ADD8B">
      <w:pPr>
        <w:spacing w:before="60" w:after="120"/>
        <w:jc w:val="center"/>
        <w:rPr>
          <w:rFonts w:hint="eastAsia" w:eastAsia="宋体" w:cs="Arial"/>
          <w:b/>
          <w:bCs/>
          <w:i w:val="0"/>
          <w:iCs w:val="0"/>
          <w:color w:val="000000" w:themeColor="text1"/>
          <w:sz w:val="24"/>
          <w:szCs w:val="24"/>
          <w:lang w:eastAsia="zh-CN"/>
          <w14:textFill>
            <w14:solidFill>
              <w14:schemeClr w14:val="tx1"/>
            </w14:solidFill>
          </w14:textFill>
        </w:rPr>
      </w:pPr>
      <w:r>
        <w:rPr>
          <w:rFonts w:ascii="Arial" w:hAnsi="Arial" w:eastAsia="Arial" w:cs="Arial"/>
          <w:b/>
          <w:bCs/>
          <w:i w:val="0"/>
          <w:iCs w:val="0"/>
          <w:color w:val="000000" w:themeColor="text1"/>
          <w:sz w:val="20"/>
          <w:szCs w:val="20"/>
          <w14:textFill>
            <w14:solidFill>
              <w14:schemeClr w14:val="tx1"/>
            </w14:solidFill>
          </w14:textFill>
        </w:rPr>
        <w:t>表 2.1  Product 语义下各逻辑算子的 Grounding 定义</w:t>
      </w:r>
    </w:p>
    <w:tbl>
      <w:tblPr>
        <w:tblStyle w:val="11"/>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9"/>
        <w:gridCol w:w="1289"/>
        <w:gridCol w:w="2478"/>
        <w:gridCol w:w="3880"/>
      </w:tblGrid>
      <w:tr w14:paraId="6B66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381B6768">
            <w:pPr>
              <w:jc w:val="center"/>
              <w:rPr>
                <w:b w:val="0"/>
                <w:bCs w:val="0"/>
              </w:rPr>
            </w:pPr>
            <w:r>
              <w:rPr>
                <w:rFonts w:ascii="Arial" w:hAnsi="Arial" w:eastAsia="Arial" w:cs="Arial"/>
                <w:b w:val="0"/>
                <w:bCs w:val="0"/>
                <w:color w:val="FFFFFF"/>
                <w:sz w:val="20"/>
                <w:szCs w:val="20"/>
              </w:rPr>
              <w:t>算子</w:t>
            </w:r>
          </w:p>
        </w:tc>
        <w:tc>
          <w:tcPr>
            <w:tcW w:w="1300"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0C503C6D">
            <w:pPr>
              <w:jc w:val="center"/>
              <w:rPr>
                <w:b w:val="0"/>
                <w:bCs w:val="0"/>
              </w:rPr>
            </w:pPr>
            <w:r>
              <w:rPr>
                <w:rFonts w:ascii="Arial" w:hAnsi="Arial" w:eastAsia="Arial" w:cs="Arial"/>
                <w:b w:val="0"/>
                <w:bCs w:val="0"/>
                <w:color w:val="FFFFFF"/>
                <w:sz w:val="20"/>
                <w:szCs w:val="20"/>
              </w:rPr>
              <w:t>符号</w:t>
            </w:r>
          </w:p>
        </w:tc>
        <w:tc>
          <w:tcPr>
            <w:tcW w:w="2500"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7524A44A">
            <w:pPr>
              <w:jc w:val="center"/>
              <w:rPr>
                <w:b w:val="0"/>
                <w:bCs w:val="0"/>
              </w:rPr>
            </w:pPr>
            <w:r>
              <w:rPr>
                <w:rFonts w:ascii="Arial" w:hAnsi="Arial" w:eastAsia="Arial" w:cs="Arial"/>
                <w:b w:val="0"/>
                <w:bCs w:val="0"/>
                <w:color w:val="FFFFFF"/>
                <w:sz w:val="20"/>
                <w:szCs w:val="20"/>
              </w:rPr>
              <w:t>Product 语义公式</w:t>
            </w:r>
          </w:p>
        </w:tc>
        <w:tc>
          <w:tcPr>
            <w:tcW w:w="3926"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40F7CF2F">
            <w:pPr>
              <w:jc w:val="center"/>
              <w:rPr>
                <w:b w:val="0"/>
                <w:bCs w:val="0"/>
              </w:rPr>
            </w:pPr>
            <w:r>
              <w:rPr>
                <w:rFonts w:ascii="Arial" w:hAnsi="Arial" w:eastAsia="Arial" w:cs="Arial"/>
                <w:b w:val="0"/>
                <w:bCs w:val="0"/>
                <w:color w:val="FFFFFF"/>
                <w:sz w:val="20"/>
                <w:szCs w:val="20"/>
              </w:rPr>
              <w:t>直观含义</w:t>
            </w:r>
          </w:p>
        </w:tc>
      </w:tr>
      <w:tr w14:paraId="10277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F9B3E62">
            <w:pPr>
              <w:jc w:val="left"/>
              <w:rPr>
                <w:b w:val="0"/>
                <w:bCs w:val="0"/>
              </w:rPr>
            </w:pPr>
            <w:r>
              <w:rPr>
                <w:rFonts w:ascii="Arial" w:hAnsi="Arial" w:eastAsia="Arial" w:cs="Arial"/>
                <w:b w:val="0"/>
                <w:bCs w:val="0"/>
                <w:sz w:val="20"/>
                <w:szCs w:val="20"/>
              </w:rPr>
              <w:t>合取（AND）</w:t>
            </w:r>
          </w:p>
        </w:tc>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277350B">
            <w:pPr>
              <w:jc w:val="left"/>
              <w:rPr>
                <w:b w:val="0"/>
                <w:bCs w:val="0"/>
              </w:rPr>
            </w:pPr>
            <w:r>
              <w:rPr>
                <w:rFonts w:ascii="Arial" w:hAnsi="Arial" w:eastAsia="Arial" w:cs="Arial"/>
                <w:b w:val="0"/>
                <w:bCs w:val="0"/>
                <w:sz w:val="20"/>
                <w:szCs w:val="20"/>
              </w:rPr>
              <w:t>u ∧ v</w:t>
            </w:r>
          </w:p>
        </w:tc>
        <w:tc>
          <w:tcPr>
            <w:tcW w:w="2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E8F7E4D">
            <w:pPr>
              <w:jc w:val="center"/>
              <w:rPr>
                <w:b w:val="0"/>
                <w:bCs w:val="0"/>
              </w:rPr>
            </w:pPr>
            <w:r>
              <w:rPr>
                <w:rFonts w:ascii="Arial" w:hAnsi="Arial" w:eastAsia="Arial" w:cs="Arial"/>
                <w:b w:val="0"/>
                <w:bCs w:val="0"/>
                <w:sz w:val="20"/>
                <w:szCs w:val="20"/>
              </w:rPr>
              <w:t>G(∧) = u · v</w:t>
            </w:r>
          </w:p>
        </w:tc>
        <w:tc>
          <w:tcPr>
            <w:tcW w:w="39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21BFB4">
            <w:pPr>
              <w:jc w:val="left"/>
              <w:rPr>
                <w:b w:val="0"/>
                <w:bCs w:val="0"/>
              </w:rPr>
            </w:pPr>
            <w:r>
              <w:rPr>
                <w:rFonts w:ascii="Arial" w:hAnsi="Arial" w:eastAsia="Arial" w:cs="Arial"/>
                <w:b w:val="0"/>
                <w:bCs w:val="0"/>
                <w:sz w:val="20"/>
                <w:szCs w:val="20"/>
              </w:rPr>
              <w:t>两个命题均成立的联合概率</w:t>
            </w:r>
          </w:p>
        </w:tc>
      </w:tr>
      <w:tr w14:paraId="61E0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F0830D0">
            <w:pPr>
              <w:jc w:val="left"/>
              <w:rPr>
                <w:b w:val="0"/>
                <w:bCs w:val="0"/>
              </w:rPr>
            </w:pPr>
            <w:r>
              <w:rPr>
                <w:rFonts w:ascii="Arial" w:hAnsi="Arial" w:eastAsia="Arial" w:cs="Arial"/>
                <w:b w:val="0"/>
                <w:bCs w:val="0"/>
                <w:sz w:val="20"/>
                <w:szCs w:val="20"/>
              </w:rPr>
              <w:t>析取（OR）</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1679508">
            <w:pPr>
              <w:jc w:val="left"/>
              <w:rPr>
                <w:b w:val="0"/>
                <w:bCs w:val="0"/>
              </w:rPr>
            </w:pPr>
            <w:r>
              <w:rPr>
                <w:rFonts w:ascii="Arial" w:hAnsi="Arial" w:eastAsia="Arial" w:cs="Arial"/>
                <w:b w:val="0"/>
                <w:bCs w:val="0"/>
                <w:sz w:val="20"/>
                <w:szCs w:val="20"/>
              </w:rPr>
              <w:t>u ∨ v</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AA5E7E7">
            <w:pPr>
              <w:jc w:val="center"/>
              <w:rPr>
                <w:b w:val="0"/>
                <w:bCs w:val="0"/>
              </w:rPr>
            </w:pPr>
            <w:r>
              <w:rPr>
                <w:rFonts w:ascii="Arial" w:hAnsi="Arial" w:eastAsia="Arial" w:cs="Arial"/>
                <w:b w:val="0"/>
                <w:bCs w:val="0"/>
                <w:sz w:val="20"/>
                <w:szCs w:val="20"/>
              </w:rPr>
              <w:t>G(∨) = u + v − u · v</w:t>
            </w:r>
          </w:p>
        </w:tc>
        <w:tc>
          <w:tcPr>
            <w:tcW w:w="39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F30B39E">
            <w:pPr>
              <w:jc w:val="left"/>
              <w:rPr>
                <w:b w:val="0"/>
                <w:bCs w:val="0"/>
              </w:rPr>
            </w:pPr>
            <w:r>
              <w:rPr>
                <w:rFonts w:ascii="Arial" w:hAnsi="Arial" w:eastAsia="Arial" w:cs="Arial"/>
                <w:b w:val="0"/>
                <w:bCs w:val="0"/>
                <w:sz w:val="20"/>
                <w:szCs w:val="20"/>
              </w:rPr>
              <w:t>至少一个命题成立（容斥公式）</w:t>
            </w:r>
          </w:p>
        </w:tc>
      </w:tr>
      <w:tr w14:paraId="78D1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48C1616">
            <w:pPr>
              <w:jc w:val="left"/>
              <w:rPr>
                <w:b w:val="0"/>
                <w:bCs w:val="0"/>
              </w:rPr>
            </w:pPr>
            <w:r>
              <w:rPr>
                <w:rFonts w:ascii="Arial" w:hAnsi="Arial" w:eastAsia="Arial" w:cs="Arial"/>
                <w:b w:val="0"/>
                <w:bCs w:val="0"/>
                <w:sz w:val="20"/>
                <w:szCs w:val="20"/>
              </w:rPr>
              <w:t>否定（NOT）</w:t>
            </w:r>
          </w:p>
        </w:tc>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79FBE72">
            <w:pPr>
              <w:jc w:val="left"/>
              <w:rPr>
                <w:b w:val="0"/>
                <w:bCs w:val="0"/>
              </w:rPr>
            </w:pPr>
            <w:r>
              <w:rPr>
                <w:rFonts w:ascii="Arial" w:hAnsi="Arial" w:eastAsia="Arial" w:cs="Arial"/>
                <w:b w:val="0"/>
                <w:bCs w:val="0"/>
                <w:sz w:val="20"/>
                <w:szCs w:val="20"/>
              </w:rPr>
              <w:t>¬u</w:t>
            </w:r>
          </w:p>
        </w:tc>
        <w:tc>
          <w:tcPr>
            <w:tcW w:w="2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B55F400">
            <w:pPr>
              <w:jc w:val="center"/>
              <w:rPr>
                <w:b w:val="0"/>
                <w:bCs w:val="0"/>
              </w:rPr>
            </w:pPr>
            <w:r>
              <w:rPr>
                <w:rFonts w:ascii="Arial" w:hAnsi="Arial" w:eastAsia="Arial" w:cs="Arial"/>
                <w:b w:val="0"/>
                <w:bCs w:val="0"/>
                <w:sz w:val="20"/>
                <w:szCs w:val="20"/>
              </w:rPr>
              <w:t>G(¬) = 1 − u</w:t>
            </w:r>
          </w:p>
        </w:tc>
        <w:tc>
          <w:tcPr>
            <w:tcW w:w="39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6FF1CB7">
            <w:pPr>
              <w:jc w:val="left"/>
              <w:rPr>
                <w:b w:val="0"/>
                <w:bCs w:val="0"/>
              </w:rPr>
            </w:pPr>
            <w:r>
              <w:rPr>
                <w:rFonts w:ascii="Arial" w:hAnsi="Arial" w:eastAsia="Arial" w:cs="Arial"/>
                <w:b w:val="0"/>
                <w:bCs w:val="0"/>
                <w:sz w:val="20"/>
                <w:szCs w:val="20"/>
              </w:rPr>
              <w:t>命题不成立的概率补</w:t>
            </w:r>
          </w:p>
        </w:tc>
      </w:tr>
      <w:tr w14:paraId="6CD35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04CD37D">
            <w:pPr>
              <w:jc w:val="left"/>
              <w:rPr>
                <w:b w:val="0"/>
                <w:bCs w:val="0"/>
              </w:rPr>
            </w:pPr>
            <w:r>
              <w:rPr>
                <w:rFonts w:ascii="Arial" w:hAnsi="Arial" w:eastAsia="Arial" w:cs="Arial"/>
                <w:b w:val="0"/>
                <w:bCs w:val="0"/>
                <w:sz w:val="20"/>
                <w:szCs w:val="20"/>
              </w:rPr>
              <w:t>蕴含（IMPL）</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3C64A48">
            <w:pPr>
              <w:jc w:val="left"/>
              <w:rPr>
                <w:b w:val="0"/>
                <w:bCs w:val="0"/>
              </w:rPr>
            </w:pPr>
            <w:r>
              <w:rPr>
                <w:rFonts w:ascii="Arial" w:hAnsi="Arial" w:eastAsia="Arial" w:cs="Arial"/>
                <w:b w:val="0"/>
                <w:bCs w:val="0"/>
                <w:sz w:val="20"/>
                <w:szCs w:val="20"/>
              </w:rPr>
              <w:t>u ⇒ v</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3F21D13">
            <w:pPr>
              <w:jc w:val="center"/>
              <w:rPr>
                <w:b w:val="0"/>
                <w:bCs w:val="0"/>
              </w:rPr>
            </w:pPr>
            <w:r>
              <w:rPr>
                <w:rFonts w:ascii="Arial" w:hAnsi="Arial" w:eastAsia="Arial" w:cs="Arial"/>
                <w:b w:val="0"/>
                <w:bCs w:val="0"/>
                <w:sz w:val="20"/>
                <w:szCs w:val="20"/>
              </w:rPr>
              <w:t>G(⇒) = 1 − u + u·v</w:t>
            </w:r>
          </w:p>
        </w:tc>
        <w:tc>
          <w:tcPr>
            <w:tcW w:w="39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28AA854">
            <w:pPr>
              <w:jc w:val="left"/>
              <w:rPr>
                <w:b w:val="0"/>
                <w:bCs w:val="0"/>
              </w:rPr>
            </w:pPr>
            <w:r>
              <w:rPr>
                <w:rFonts w:ascii="Arial" w:hAnsi="Arial" w:eastAsia="Arial" w:cs="Arial"/>
                <w:b w:val="0"/>
                <w:bCs w:val="0"/>
                <w:sz w:val="20"/>
                <w:szCs w:val="20"/>
              </w:rPr>
              <w:t>等价于 ¬u ∨ (u ∧ v) 的展开</w:t>
            </w:r>
          </w:p>
        </w:tc>
      </w:tr>
      <w:tr w14:paraId="79EAB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45664A3">
            <w:pPr>
              <w:jc w:val="left"/>
              <w:rPr>
                <w:b w:val="0"/>
                <w:bCs w:val="0"/>
              </w:rPr>
            </w:pPr>
            <w:r>
              <w:rPr>
                <w:rFonts w:ascii="Arial" w:hAnsi="Arial" w:eastAsia="Arial" w:cs="Arial"/>
                <w:b w:val="0"/>
                <w:bCs w:val="0"/>
                <w:sz w:val="20"/>
                <w:szCs w:val="20"/>
              </w:rPr>
              <w:t>全称（FORALL）</w:t>
            </w:r>
          </w:p>
        </w:tc>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E92B4B3">
            <w:pPr>
              <w:jc w:val="left"/>
              <w:rPr>
                <w:b w:val="0"/>
                <w:bCs w:val="0"/>
              </w:rPr>
            </w:pPr>
            <w:r>
              <w:rPr>
                <w:rFonts w:ascii="Arial" w:hAnsi="Arial" w:eastAsia="Arial" w:cs="Arial"/>
                <w:b w:val="0"/>
                <w:bCs w:val="0"/>
                <w:sz w:val="20"/>
                <w:szCs w:val="20"/>
              </w:rPr>
              <w:t>∀x P(x)</w:t>
            </w:r>
          </w:p>
        </w:tc>
        <w:tc>
          <w:tcPr>
            <w:tcW w:w="2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624CA19">
            <w:pPr>
              <w:jc w:val="center"/>
              <w:rPr>
                <w:b w:val="0"/>
                <w:bCs w:val="0"/>
              </w:rPr>
            </w:pPr>
            <w:r>
              <w:rPr>
                <w:rFonts w:ascii="Arial" w:hAnsi="Arial" w:eastAsia="Arial" w:cs="Arial"/>
                <w:b w:val="0"/>
                <w:bCs w:val="0"/>
                <w:sz w:val="20"/>
                <w:szCs w:val="20"/>
              </w:rPr>
              <w:t>pMean-Error</w:t>
            </w:r>
          </w:p>
        </w:tc>
        <w:tc>
          <w:tcPr>
            <w:tcW w:w="39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6D02AE">
            <w:pPr>
              <w:jc w:val="left"/>
              <w:rPr>
                <w:b w:val="0"/>
                <w:bCs w:val="0"/>
              </w:rPr>
            </w:pPr>
            <w:r>
              <w:rPr>
                <w:rFonts w:ascii="Arial" w:hAnsi="Arial" w:eastAsia="Arial" w:cs="Arial"/>
                <w:b w:val="0"/>
                <w:bCs w:val="0"/>
                <w:sz w:val="20"/>
                <w:szCs w:val="20"/>
              </w:rPr>
              <w:t>批次内所有个体满足 P 的程度</w:t>
            </w:r>
          </w:p>
        </w:tc>
      </w:tr>
      <w:tr w14:paraId="4D8D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1EDFAC3">
            <w:pPr>
              <w:jc w:val="left"/>
              <w:rPr>
                <w:b w:val="0"/>
                <w:bCs w:val="0"/>
              </w:rPr>
            </w:pPr>
            <w:r>
              <w:rPr>
                <w:rFonts w:ascii="Arial" w:hAnsi="Arial" w:eastAsia="Arial" w:cs="Arial"/>
                <w:b w:val="0"/>
                <w:bCs w:val="0"/>
                <w:sz w:val="20"/>
                <w:szCs w:val="20"/>
              </w:rPr>
              <w:t>存在（EXISTS）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EBA68E8">
            <w:pPr>
              <w:jc w:val="left"/>
              <w:rPr>
                <w:b w:val="0"/>
                <w:bCs w:val="0"/>
              </w:rPr>
            </w:pPr>
            <w:r>
              <w:rPr>
                <w:rFonts w:ascii="Arial" w:hAnsi="Arial" w:eastAsia="Arial" w:cs="Arial"/>
                <w:b w:val="0"/>
                <w:bCs w:val="0"/>
                <w:sz w:val="20"/>
                <w:szCs w:val="20"/>
              </w:rPr>
              <w:t>∃x P(x)</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68E11C3">
            <w:pPr>
              <w:jc w:val="center"/>
              <w:rPr>
                <w:b w:val="0"/>
                <w:bCs w:val="0"/>
              </w:rPr>
            </w:pPr>
            <w:r>
              <w:rPr>
                <w:rFonts w:ascii="Arial" w:hAnsi="Arial" w:eastAsia="Arial" w:cs="Arial"/>
                <w:b w:val="0"/>
                <w:bCs w:val="0"/>
                <w:sz w:val="20"/>
                <w:szCs w:val="20"/>
              </w:rPr>
              <w:t>pMean</w:t>
            </w:r>
          </w:p>
        </w:tc>
        <w:tc>
          <w:tcPr>
            <w:tcW w:w="39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6B6CE45">
            <w:pPr>
              <w:jc w:val="left"/>
              <w:rPr>
                <w:b w:val="0"/>
                <w:bCs w:val="0"/>
              </w:rPr>
            </w:pPr>
            <w:r>
              <w:rPr>
                <w:rFonts w:ascii="Arial" w:hAnsi="Arial" w:eastAsia="Arial" w:cs="Arial"/>
                <w:b w:val="0"/>
                <w:bCs w:val="0"/>
                <w:sz w:val="20"/>
                <w:szCs w:val="20"/>
              </w:rPr>
              <w:t>批次内存在个体满足 P 的程度</w:t>
            </w:r>
          </w:p>
        </w:tc>
      </w:tr>
    </w:tbl>
    <w:p w14:paraId="127459BF">
      <w:pPr>
        <w:spacing w:before="60" w:after="100"/>
        <w:ind w:firstLine="480" w:firstLineChars="200"/>
        <w:jc w:val="both"/>
        <w:rPr>
          <w:b w:val="0"/>
          <w:bCs w:val="0"/>
          <w:sz w:val="24"/>
          <w:szCs w:val="24"/>
        </w:rPr>
      </w:pPr>
      <w:r>
        <w:rPr>
          <w:rFonts w:ascii="Arial" w:hAnsi="Arial" w:eastAsia="Arial" w:cs="Arial"/>
          <w:b w:val="0"/>
          <w:bCs w:val="0"/>
          <w:sz w:val="24"/>
          <w:szCs w:val="24"/>
        </w:rPr>
        <w:t>全称量词（pMean-Error）和存在量词（pMean）的完整公式如下，其中 u</w:t>
      </w:r>
      <w:r>
        <w:rPr>
          <w:rFonts w:ascii="Arial" w:hAnsi="Arial" w:eastAsia="Arial" w:cs="Arial"/>
          <w:b w:val="0"/>
          <w:bCs w:val="0"/>
          <w:sz w:val="24"/>
          <w:szCs w:val="24"/>
          <w:vertAlign w:val="subscript"/>
        </w:rPr>
        <w:t>1</w:t>
      </w:r>
      <w:r>
        <w:rPr>
          <w:rFonts w:ascii="Arial" w:hAnsi="Arial" w:eastAsia="Arial" w:cs="Arial"/>
          <w:b w:val="0"/>
          <w:bCs w:val="0"/>
          <w:sz w:val="24"/>
          <w:szCs w:val="24"/>
        </w:rPr>
        <w:t>, ..., u</w:t>
      </w:r>
      <w:r>
        <w:rPr>
          <w:rFonts w:ascii="Arial" w:hAnsi="Arial" w:eastAsia="Arial" w:cs="Arial"/>
          <w:b w:val="0"/>
          <w:bCs w:val="0"/>
          <w:sz w:val="24"/>
          <w:szCs w:val="24"/>
          <w:vertAlign w:val="subscript"/>
        </w:rPr>
        <w:t>n</w:t>
      </w:r>
      <w:r>
        <w:rPr>
          <w:rFonts w:ascii="Arial" w:hAnsi="Arial" w:eastAsia="Arial" w:cs="Arial"/>
          <w:b w:val="0"/>
          <w:bCs w:val="0"/>
          <w:sz w:val="24"/>
          <w:szCs w:val="24"/>
        </w:rPr>
        <w:t xml:space="preserve"> ∈ [0,1]：</w:t>
      </w:r>
    </w:p>
    <w:p w14:paraId="1DCBA7D4">
      <w:pPr>
        <w:spacing w:before="100" w:after="100"/>
        <w:jc w:val="center"/>
        <w:rPr>
          <w:b w:val="0"/>
          <w:bCs w:val="0"/>
          <w:sz w:val="24"/>
          <w:szCs w:val="24"/>
        </w:rPr>
      </w:pPr>
      <m:oMathPara>
        <m:oMath>
          <m:r>
            <m:rPr/>
            <w:rPr>
              <w:rFonts w:ascii="Cambria Math" w:hAnsi="Cambria Math"/>
              <w:sz w:val="24"/>
              <w:szCs w:val="24"/>
            </w:rPr>
            <m:t>G(∀)  :u₁,…,uₙ  ↦</m:t>
          </m:r>
          <m:sSup>
            <m:sSupPr>
              <m:ctrlPr>
                <w:rPr>
                  <w:rFonts w:ascii="Cambria Math" w:hAnsi="Cambria Math"/>
                  <w:b w:val="0"/>
                  <w:bCs w:val="0"/>
                  <w:sz w:val="24"/>
                  <w:szCs w:val="24"/>
                </w:rPr>
              </m:ctrlPr>
            </m:sSupPr>
            <m:e>
              <m:r>
                <m:rPr/>
                <w:rPr>
                  <w:rFonts w:ascii="Cambria Math" w:hAnsi="Cambria Math"/>
                  <w:sz w:val="24"/>
                  <w:szCs w:val="24"/>
                </w:rPr>
                <m:t>1  −</m:t>
              </m:r>
              <m:d>
                <m:dPr>
                  <m:ctrlPr>
                    <w:rPr>
                      <w:rFonts w:ascii="Cambria Math" w:hAnsi="Cambria Math"/>
                      <w:b w:val="0"/>
                      <w:bCs w:val="0"/>
                      <w:sz w:val="24"/>
                      <w:szCs w:val="24"/>
                    </w:rPr>
                  </m:ctrlPr>
                </m:dPr>
                <m:e>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n</m:t>
                      </m:r>
                      <m:ctrlPr>
                        <w:rPr>
                          <w:rFonts w:ascii="Cambria Math" w:hAnsi="Cambria Math"/>
                          <w:b w:val="0"/>
                          <w:bCs w:val="0"/>
                          <w:sz w:val="24"/>
                          <w:szCs w:val="24"/>
                        </w:rPr>
                      </m:ctrlPr>
                    </m:den>
                  </m:f>
                  <m:r>
                    <m:rPr/>
                    <w:rPr>
                      <w:rFonts w:ascii="Cambria Math" w:hAnsi="Cambria Math"/>
                      <w:sz w:val="24"/>
                      <w:szCs w:val="24"/>
                    </w:rPr>
                    <m:t>·</m:t>
                  </m:r>
                  <m:nary>
                    <m:naryPr>
                      <m:chr m:val="∑"/>
                      <m:limLoc m:val="undOvr"/>
                      <m:ctrlPr>
                        <w:rPr>
                          <w:rFonts w:ascii="Cambria Math" w:hAnsi="Cambria Math"/>
                          <w:b w:val="0"/>
                          <w:bCs w:val="0"/>
                          <w:sz w:val="24"/>
                          <w:szCs w:val="24"/>
                        </w:rPr>
                      </m:ctrlPr>
                    </m:naryPr>
                    <m:sub>
                      <m:r>
                        <m:rPr/>
                        <w:rPr>
                          <w:rFonts w:ascii="Cambria Math" w:hAnsi="Cambria Math"/>
                          <w:sz w:val="24"/>
                          <w:szCs w:val="24"/>
                        </w:rPr>
                        <m:t>i=1</m:t>
                      </m:r>
                      <m:ctrlPr>
                        <w:rPr>
                          <w:rFonts w:ascii="Cambria Math" w:hAnsi="Cambria Math"/>
                          <w:b w:val="0"/>
                          <w:bCs w:val="0"/>
                          <w:sz w:val="24"/>
                          <w:szCs w:val="24"/>
                        </w:rPr>
                      </m:ctrlPr>
                    </m:sub>
                    <m:sup>
                      <m:r>
                        <m:rPr/>
                        <w:rPr>
                          <w:rFonts w:ascii="Cambria Math" w:hAnsi="Cambria Math"/>
                          <w:sz w:val="24"/>
                          <w:szCs w:val="24"/>
                        </w:rPr>
                        <m:t>n</m:t>
                      </m:r>
                      <m:ctrlPr>
                        <w:rPr>
                          <w:rFonts w:ascii="Cambria Math" w:hAnsi="Cambria Math"/>
                          <w:b w:val="0"/>
                          <w:bCs w:val="0"/>
                          <w:sz w:val="24"/>
                          <w:szCs w:val="24"/>
                        </w:rPr>
                      </m:ctrlPr>
                    </m:sup>
                    <m:e>
                      <m:sSup>
                        <m:sSupPr>
                          <m:ctrlPr>
                            <w:rPr>
                              <w:rFonts w:ascii="Cambria Math" w:hAnsi="Cambria Math"/>
                              <w:b w:val="0"/>
                              <w:bCs w:val="0"/>
                              <w:sz w:val="24"/>
                              <w:szCs w:val="24"/>
                            </w:rPr>
                          </m:ctrlPr>
                        </m:sSupPr>
                        <m:e>
                          <m:r>
                            <m:rPr/>
                            <w:rPr>
                              <w:rFonts w:ascii="Cambria Math" w:hAnsi="Cambria Math"/>
                              <w:sz w:val="24"/>
                              <w:szCs w:val="24"/>
                            </w:rPr>
                            <m:t>(1−uᵢ)</m:t>
                          </m:r>
                          <m:ctrlPr>
                            <w:rPr>
                              <w:rFonts w:ascii="Cambria Math" w:hAnsi="Cambria Math"/>
                              <w:b w:val="0"/>
                              <w:bCs w:val="0"/>
                              <w:sz w:val="24"/>
                              <w:szCs w:val="24"/>
                            </w:rPr>
                          </m:ctrlPr>
                        </m:e>
                        <m:sup>
                          <m:r>
                            <m:rPr/>
                            <w:rPr>
                              <w:rFonts w:ascii="Cambria Math" w:hAnsi="Cambria Math"/>
                              <w:sz w:val="24"/>
                              <w:szCs w:val="24"/>
                            </w:rPr>
                            <m:t>p</m:t>
                          </m:r>
                          <m:ctrlPr>
                            <w:rPr>
                              <w:rFonts w:ascii="Cambria Math" w:hAnsi="Cambria Math"/>
                              <w:b w:val="0"/>
                              <w:bCs w:val="0"/>
                              <w:sz w:val="24"/>
                              <w:szCs w:val="24"/>
                            </w:rPr>
                          </m:ctrlPr>
                        </m:sup>
                      </m:sSup>
                      <m:ctrlPr>
                        <w:rPr>
                          <w:rFonts w:ascii="Cambria Math" w:hAnsi="Cambria Math"/>
                          <w:b w:val="0"/>
                          <w:bCs w:val="0"/>
                          <w:sz w:val="24"/>
                          <w:szCs w:val="24"/>
                        </w:rPr>
                      </m:ctrlPr>
                    </m:e>
                  </m:nary>
                  <m:ctrlPr>
                    <w:rPr>
                      <w:rFonts w:ascii="Cambria Math" w:hAnsi="Cambria Math"/>
                      <w:b w:val="0"/>
                      <w:bCs w:val="0"/>
                      <w:sz w:val="24"/>
                      <w:szCs w:val="24"/>
                    </w:rPr>
                  </m:ctrlPr>
                </m:e>
              </m:d>
              <m:ctrlPr>
                <w:rPr>
                  <w:rFonts w:ascii="Cambria Math" w:hAnsi="Cambria Math"/>
                  <w:b w:val="0"/>
                  <w:bCs w:val="0"/>
                  <w:sz w:val="24"/>
                  <w:szCs w:val="24"/>
                </w:rPr>
              </m:ctrlPr>
            </m:e>
            <m:sup>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p</m:t>
                  </m:r>
                  <m:ctrlPr>
                    <w:rPr>
                      <w:rFonts w:ascii="Cambria Math" w:hAnsi="Cambria Math"/>
                      <w:b w:val="0"/>
                      <w:bCs w:val="0"/>
                      <w:sz w:val="24"/>
                      <w:szCs w:val="24"/>
                    </w:rPr>
                  </m:ctrlPr>
                </m:den>
              </m:f>
              <m:ctrlPr>
                <w:rPr>
                  <w:rFonts w:ascii="Cambria Math" w:hAnsi="Cambria Math"/>
                  <w:b w:val="0"/>
                  <w:bCs w:val="0"/>
                  <w:sz w:val="24"/>
                  <w:szCs w:val="24"/>
                </w:rPr>
              </m:ctrlPr>
            </m:sup>
          </m:sSup>
          <m:r>
            <m:rPr/>
            <w:rPr>
              <w:rFonts w:ascii="Cambria Math" w:hAnsi="Cambria Math"/>
              <w:sz w:val="24"/>
              <w:szCs w:val="24"/>
            </w:rPr>
            <m:t>( pMean−Error,  p = 2 )</m:t>
          </m:r>
        </m:oMath>
      </m:oMathPara>
    </w:p>
    <w:p w14:paraId="708030FC">
      <w:pPr>
        <w:spacing w:before="40" w:after="40"/>
        <w:rPr>
          <w:b w:val="0"/>
          <w:bCs w:val="0"/>
          <w:sz w:val="24"/>
          <w:szCs w:val="24"/>
        </w:rPr>
      </w:pPr>
    </w:p>
    <w:p w14:paraId="2718D24A">
      <w:pPr>
        <w:spacing w:before="100" w:after="100"/>
        <w:jc w:val="center"/>
        <w:rPr>
          <w:b w:val="0"/>
          <w:bCs w:val="0"/>
          <w:sz w:val="24"/>
          <w:szCs w:val="24"/>
        </w:rPr>
      </w:pPr>
      <m:oMathPara>
        <m:oMath>
          <m:r>
            <m:rPr/>
            <w:rPr>
              <w:rFonts w:ascii="Cambria Math" w:hAnsi="Cambria Math"/>
              <w:sz w:val="24"/>
              <w:szCs w:val="24"/>
            </w:rPr>
            <m:t>G(∃)  :u₁,…,uₙ  ↦</m:t>
          </m:r>
          <m:sSup>
            <m:sSupPr>
              <m:ctrlPr>
                <w:rPr>
                  <w:rFonts w:ascii="Cambria Math" w:hAnsi="Cambria Math"/>
                  <w:b w:val="0"/>
                  <w:bCs w:val="0"/>
                  <w:sz w:val="24"/>
                  <w:szCs w:val="24"/>
                </w:rPr>
              </m:ctrlPr>
            </m:sSupPr>
            <m:e>
              <m:d>
                <m:dPr>
                  <m:ctrlPr>
                    <w:rPr>
                      <w:rFonts w:ascii="Cambria Math" w:hAnsi="Cambria Math"/>
                      <w:b w:val="0"/>
                      <w:bCs w:val="0"/>
                      <w:sz w:val="24"/>
                      <w:szCs w:val="24"/>
                    </w:rPr>
                  </m:ctrlPr>
                </m:dPr>
                <m:e>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n</m:t>
                      </m:r>
                      <m:ctrlPr>
                        <w:rPr>
                          <w:rFonts w:ascii="Cambria Math" w:hAnsi="Cambria Math"/>
                          <w:b w:val="0"/>
                          <w:bCs w:val="0"/>
                          <w:sz w:val="24"/>
                          <w:szCs w:val="24"/>
                        </w:rPr>
                      </m:ctrlPr>
                    </m:den>
                  </m:f>
                  <m:r>
                    <m:rPr/>
                    <w:rPr>
                      <w:rFonts w:ascii="Cambria Math" w:hAnsi="Cambria Math"/>
                      <w:sz w:val="24"/>
                      <w:szCs w:val="24"/>
                    </w:rPr>
                    <m:t>·</m:t>
                  </m:r>
                  <m:nary>
                    <m:naryPr>
                      <m:chr m:val="∑"/>
                      <m:limLoc m:val="undOvr"/>
                      <m:ctrlPr>
                        <w:rPr>
                          <w:rFonts w:ascii="Cambria Math" w:hAnsi="Cambria Math"/>
                          <w:b w:val="0"/>
                          <w:bCs w:val="0"/>
                          <w:sz w:val="24"/>
                          <w:szCs w:val="24"/>
                        </w:rPr>
                      </m:ctrlPr>
                    </m:naryPr>
                    <m:sub>
                      <m:r>
                        <m:rPr/>
                        <w:rPr>
                          <w:rFonts w:ascii="Cambria Math" w:hAnsi="Cambria Math"/>
                          <w:sz w:val="24"/>
                          <w:szCs w:val="24"/>
                        </w:rPr>
                        <m:t>i=1</m:t>
                      </m:r>
                      <m:ctrlPr>
                        <w:rPr>
                          <w:rFonts w:ascii="Cambria Math" w:hAnsi="Cambria Math"/>
                          <w:b w:val="0"/>
                          <w:bCs w:val="0"/>
                          <w:sz w:val="24"/>
                          <w:szCs w:val="24"/>
                        </w:rPr>
                      </m:ctrlPr>
                    </m:sub>
                    <m:sup>
                      <m:r>
                        <m:rPr/>
                        <w:rPr>
                          <w:rFonts w:ascii="Cambria Math" w:hAnsi="Cambria Math"/>
                          <w:sz w:val="24"/>
                          <w:szCs w:val="24"/>
                        </w:rPr>
                        <m:t>n</m:t>
                      </m:r>
                      <m:ctrlPr>
                        <w:rPr>
                          <w:rFonts w:ascii="Cambria Math" w:hAnsi="Cambria Math"/>
                          <w:b w:val="0"/>
                          <w:bCs w:val="0"/>
                          <w:sz w:val="24"/>
                          <w:szCs w:val="24"/>
                        </w:rPr>
                      </m:ctrlPr>
                    </m:sup>
                    <m:e>
                      <m:sSup>
                        <m:sSupPr>
                          <m:ctrlPr>
                            <w:rPr>
                              <w:rFonts w:ascii="Cambria Math" w:hAnsi="Cambria Math"/>
                              <w:b w:val="0"/>
                              <w:bCs w:val="0"/>
                              <w:sz w:val="24"/>
                              <w:szCs w:val="24"/>
                            </w:rPr>
                          </m:ctrlPr>
                        </m:sSupPr>
                        <m:e>
                          <m:r>
                            <m:rPr/>
                            <w:rPr>
                              <w:rFonts w:ascii="Cambria Math" w:hAnsi="Cambria Math"/>
                              <w:sz w:val="24"/>
                              <w:szCs w:val="24"/>
                            </w:rPr>
                            <m:t>uᵢ</m:t>
                          </m:r>
                          <m:ctrlPr>
                            <w:rPr>
                              <w:rFonts w:ascii="Cambria Math" w:hAnsi="Cambria Math"/>
                              <w:b w:val="0"/>
                              <w:bCs w:val="0"/>
                              <w:sz w:val="24"/>
                              <w:szCs w:val="24"/>
                            </w:rPr>
                          </m:ctrlPr>
                        </m:e>
                        <m:sup>
                          <m:r>
                            <m:rPr/>
                            <w:rPr>
                              <w:rFonts w:ascii="Cambria Math" w:hAnsi="Cambria Math"/>
                              <w:sz w:val="24"/>
                              <w:szCs w:val="24"/>
                            </w:rPr>
                            <m:t>p</m:t>
                          </m:r>
                          <m:ctrlPr>
                            <w:rPr>
                              <w:rFonts w:ascii="Cambria Math" w:hAnsi="Cambria Math"/>
                              <w:b w:val="0"/>
                              <w:bCs w:val="0"/>
                              <w:sz w:val="24"/>
                              <w:szCs w:val="24"/>
                            </w:rPr>
                          </m:ctrlPr>
                        </m:sup>
                      </m:sSup>
                      <m:ctrlPr>
                        <w:rPr>
                          <w:rFonts w:ascii="Cambria Math" w:hAnsi="Cambria Math"/>
                          <w:b w:val="0"/>
                          <w:bCs w:val="0"/>
                          <w:sz w:val="24"/>
                          <w:szCs w:val="24"/>
                        </w:rPr>
                      </m:ctrlPr>
                    </m:e>
                  </m:nary>
                  <m:ctrlPr>
                    <w:rPr>
                      <w:rFonts w:ascii="Cambria Math" w:hAnsi="Cambria Math"/>
                      <w:b w:val="0"/>
                      <w:bCs w:val="0"/>
                      <w:sz w:val="24"/>
                      <w:szCs w:val="24"/>
                    </w:rPr>
                  </m:ctrlPr>
                </m:e>
              </m:d>
              <m:ctrlPr>
                <w:rPr>
                  <w:rFonts w:ascii="Cambria Math" w:hAnsi="Cambria Math"/>
                  <w:b w:val="0"/>
                  <w:bCs w:val="0"/>
                  <w:sz w:val="24"/>
                  <w:szCs w:val="24"/>
                </w:rPr>
              </m:ctrlPr>
            </m:e>
            <m:sup>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p</m:t>
                  </m:r>
                  <m:ctrlPr>
                    <w:rPr>
                      <w:rFonts w:ascii="Cambria Math" w:hAnsi="Cambria Math"/>
                      <w:b w:val="0"/>
                      <w:bCs w:val="0"/>
                      <w:sz w:val="24"/>
                      <w:szCs w:val="24"/>
                    </w:rPr>
                  </m:ctrlPr>
                </m:den>
              </m:f>
              <m:ctrlPr>
                <w:rPr>
                  <w:rFonts w:ascii="Cambria Math" w:hAnsi="Cambria Math"/>
                  <w:b w:val="0"/>
                  <w:bCs w:val="0"/>
                  <w:sz w:val="24"/>
                  <w:szCs w:val="24"/>
                </w:rPr>
              </m:ctrlPr>
            </m:sup>
          </m:sSup>
          <m:r>
            <m:rPr/>
            <w:rPr>
              <w:rFonts w:ascii="Cambria Math" w:hAnsi="Cambria Math"/>
              <w:sz w:val="24"/>
              <w:szCs w:val="24"/>
            </w:rPr>
            <m:t>( pMean,  p = 2 )</m:t>
          </m:r>
        </m:oMath>
      </m:oMathPara>
    </w:p>
    <w:p w14:paraId="36BE9FDF">
      <w:pPr>
        <w:spacing w:before="40" w:after="40"/>
        <w:rPr>
          <w:b w:val="0"/>
          <w:bCs w:val="0"/>
          <w:sz w:val="24"/>
          <w:szCs w:val="24"/>
        </w:rPr>
      </w:pPr>
    </w:p>
    <w:p w14:paraId="36F7528C">
      <w:pPr>
        <w:spacing w:before="60" w:after="100"/>
        <w:ind w:firstLine="480" w:firstLineChars="200"/>
        <w:jc w:val="both"/>
        <w:rPr>
          <w:b w:val="0"/>
          <w:bCs w:val="0"/>
        </w:rPr>
      </w:pPr>
      <w:r>
        <w:rPr>
          <w:rFonts w:ascii="Arial" w:hAnsi="Arial" w:eastAsia="Arial" w:cs="Arial"/>
          <w:b w:val="0"/>
          <w:bCs w:val="0"/>
          <w:sz w:val="24"/>
          <w:szCs w:val="24"/>
        </w:rPr>
        <w:t>参数 p 控制聚合的严格程度：p → ∞ 时全称量词趋近 min 算子，存在量词趋近 max 算子；p=1 时退化为算术平均。本实验采用 p=2，在梯度稳定性与逻辑语义精确度之间取得平衡。</w:t>
      </w:r>
    </w:p>
    <w:p w14:paraId="5D0B73CB">
      <w:pPr>
        <w:pStyle w:val="4"/>
        <w:bidi w:val="0"/>
      </w:pPr>
      <w:r>
        <w:t>2.4 LTN 学习目标</w:t>
      </w:r>
    </w:p>
    <w:p w14:paraId="1B0FC33F">
      <w:pPr>
        <w:spacing w:before="60" w:after="100"/>
        <w:ind w:firstLine="480" w:firstLineChars="200"/>
        <w:jc w:val="both"/>
        <w:rPr>
          <w:rFonts w:ascii="Arial" w:hAnsi="Arial" w:eastAsia="Arial" w:cs="Arial"/>
          <w:b w:val="0"/>
          <w:bCs w:val="0"/>
          <w:sz w:val="24"/>
          <w:szCs w:val="24"/>
        </w:rPr>
      </w:pPr>
      <w:r>
        <w:rPr>
          <w:rFonts w:ascii="Arial" w:hAnsi="Arial" w:eastAsia="Arial" w:cs="Arial"/>
          <w:b w:val="0"/>
          <w:bCs w:val="0"/>
          <w:sz w:val="24"/>
          <w:szCs w:val="24"/>
        </w:rPr>
        <w:t>给定包含 n 个封闭公式的知识库 K = {φ₁, …, φₙ}，LTN 通过参数化 Grounding G(·|θ) 引入可学习参数 θ。整体学习目标为最大化知识库满足度：</w:t>
      </w:r>
    </w:p>
    <w:p w14:paraId="4F0B1A11">
      <w:pPr>
        <w:spacing w:before="60" w:after="100"/>
        <w:ind w:firstLine="480" w:firstLineChars="200"/>
        <w:jc w:val="both"/>
        <w:rPr>
          <w:rFonts w:ascii="Arial" w:hAnsi="Arial" w:eastAsia="Arial" w:cs="Arial"/>
          <w:b w:val="0"/>
          <w:bCs w:val="0"/>
          <w:sz w:val="24"/>
          <w:szCs w:val="24"/>
        </w:rPr>
      </w:pPr>
    </w:p>
    <w:p w14:paraId="1BCCCCEB">
      <w:pPr>
        <w:spacing w:before="100" w:after="100"/>
        <w:jc w:val="center"/>
        <w:rPr>
          <w:rFonts w:hAnsi="Cambria Math"/>
          <w:b w:val="0"/>
          <w:bCs w:val="0"/>
          <w:i w:val="0"/>
          <w:sz w:val="24"/>
          <w:szCs w:val="24"/>
        </w:rPr>
      </w:pPr>
      <m:oMathPara>
        <m:oMath>
          <m:r>
            <m:rPr/>
            <w:rPr>
              <w:rFonts w:ascii="Cambria Math" w:hAnsi="Cambria Math"/>
              <w:sz w:val="24"/>
              <w:szCs w:val="24"/>
            </w:rPr>
            <m:t xml:space="preserve">θ∗  = </m:t>
          </m:r>
          <m:sSub>
            <m:sSubPr>
              <m:ctrlPr>
                <w:rPr>
                  <w:rFonts w:ascii="Cambria Math" w:hAnsi="Cambria Math"/>
                  <w:b w:val="0"/>
                  <w:bCs w:val="0"/>
                  <w:sz w:val="24"/>
                  <w:szCs w:val="24"/>
                </w:rPr>
              </m:ctrlPr>
            </m:sSubPr>
            <m:e>
              <m:r>
                <m:rPr/>
                <w:rPr>
                  <w:rFonts w:ascii="Cambria Math" w:hAnsi="Cambria Math"/>
                  <w:sz w:val="24"/>
                  <w:szCs w:val="24"/>
                </w:rPr>
                <m:t xml:space="preserve"> argmax</m:t>
              </m:r>
              <m:ctrlPr>
                <w:rPr>
                  <w:rFonts w:ascii="Cambria Math" w:hAnsi="Cambria Math"/>
                  <w:b w:val="0"/>
                  <w:bCs w:val="0"/>
                  <w:sz w:val="24"/>
                  <w:szCs w:val="24"/>
                </w:rPr>
              </m:ctrlPr>
            </m:e>
            <m:sub>
              <m:r>
                <m:rPr/>
                <w:rPr>
                  <w:rFonts w:ascii="Cambria Math" w:hAnsi="Cambria Math"/>
                  <w:sz w:val="24"/>
                  <w:szCs w:val="24"/>
                </w:rPr>
                <m:t>θ</m:t>
              </m:r>
              <m:ctrlPr>
                <w:rPr>
                  <w:rFonts w:ascii="Cambria Math" w:hAnsi="Cambria Math"/>
                  <w:b w:val="0"/>
                  <w:bCs w:val="0"/>
                  <w:sz w:val="24"/>
                  <w:szCs w:val="24"/>
                </w:rPr>
              </m:ctrlPr>
            </m:sub>
          </m:sSub>
          <m:sSub>
            <m:sSubPr>
              <m:ctrlPr>
                <w:rPr>
                  <w:rFonts w:ascii="Cambria Math" w:hAnsi="Cambria Math"/>
                  <w:b w:val="0"/>
                  <w:bCs w:val="0"/>
                  <w:sz w:val="24"/>
                  <w:szCs w:val="24"/>
                </w:rPr>
              </m:ctrlPr>
            </m:sSubPr>
            <m:e>
              <m:r>
                <m:rPr/>
                <w:rPr>
                  <w:rFonts w:ascii="Cambria Math" w:hAnsi="Cambria Math"/>
                  <w:sz w:val="24"/>
                  <w:szCs w:val="24"/>
                </w:rPr>
                <m:t>SatAgg</m:t>
              </m:r>
              <m:ctrlPr>
                <w:rPr>
                  <w:rFonts w:ascii="Cambria Math" w:hAnsi="Cambria Math"/>
                  <w:b w:val="0"/>
                  <w:bCs w:val="0"/>
                  <w:sz w:val="24"/>
                  <w:szCs w:val="24"/>
                </w:rPr>
              </m:ctrlPr>
            </m:e>
            <m:sub>
              <m:r>
                <m:rPr/>
                <w:rPr>
                  <w:rFonts w:ascii="Cambria Math" w:hAnsi="Cambria Math"/>
                  <w:sz w:val="24"/>
                  <w:szCs w:val="24"/>
                </w:rPr>
                <m:t>φ∈K</m:t>
              </m:r>
              <m:ctrlPr>
                <w:rPr>
                  <w:rFonts w:ascii="Cambria Math" w:hAnsi="Cambria Math"/>
                  <w:b w:val="0"/>
                  <w:bCs w:val="0"/>
                  <w:sz w:val="24"/>
                  <w:szCs w:val="24"/>
                </w:rPr>
              </m:ctrlPr>
            </m:sub>
          </m:sSub>
          <m:r>
            <m:rPr/>
            <w:rPr>
              <w:rFonts w:ascii="Cambria Math" w:hAnsi="Cambria Math"/>
              <w:sz w:val="24"/>
              <w:szCs w:val="24"/>
            </w:rPr>
            <m:t>G(φ | θ)</m:t>
          </m:r>
        </m:oMath>
      </m:oMathPara>
    </w:p>
    <w:p w14:paraId="7BF241FA">
      <w:pPr>
        <w:spacing w:before="100" w:after="100"/>
        <w:jc w:val="center"/>
        <w:rPr>
          <w:rFonts w:hAnsi="Cambria Math"/>
          <w:b w:val="0"/>
          <w:bCs w:val="0"/>
          <w:i w:val="0"/>
          <w:sz w:val="24"/>
          <w:szCs w:val="24"/>
        </w:rPr>
      </w:pPr>
    </w:p>
    <w:p w14:paraId="7340750E">
      <w:pPr>
        <w:spacing w:before="60" w:after="100"/>
        <w:ind w:firstLine="480" w:firstLineChars="200"/>
        <w:jc w:val="both"/>
        <w:rPr>
          <w:rFonts w:ascii="Arial" w:hAnsi="Arial" w:eastAsia="Arial" w:cs="Arial"/>
          <w:b w:val="0"/>
          <w:bCs w:val="0"/>
          <w:sz w:val="24"/>
          <w:szCs w:val="24"/>
        </w:rPr>
      </w:pPr>
      <w:r>
        <w:rPr>
          <w:rFonts w:ascii="Arial" w:hAnsi="Arial" w:eastAsia="Arial" w:cs="Arial"/>
          <w:b w:val="0"/>
          <w:bCs w:val="0"/>
          <w:sz w:val="24"/>
          <w:szCs w:val="24"/>
        </w:rPr>
        <w:t>等价地，LTNtorch 通过梯度下降最小化以下损失函数：</w:t>
      </w:r>
    </w:p>
    <w:p w14:paraId="4549C53E">
      <w:pPr>
        <w:spacing w:before="60" w:after="100"/>
        <w:ind w:firstLine="480" w:firstLineChars="200"/>
        <w:jc w:val="both"/>
        <w:rPr>
          <w:rFonts w:ascii="Arial" w:hAnsi="Arial" w:eastAsia="Arial" w:cs="Arial"/>
          <w:b w:val="0"/>
          <w:bCs w:val="0"/>
          <w:sz w:val="24"/>
          <w:szCs w:val="24"/>
        </w:rPr>
      </w:pPr>
    </w:p>
    <w:p w14:paraId="0F8DD797">
      <w:pPr>
        <w:spacing w:before="100" w:after="100"/>
        <w:jc w:val="center"/>
        <w:rPr>
          <w:rFonts w:hAnsi="Cambria Math"/>
          <w:b w:val="0"/>
          <w:bCs w:val="0"/>
          <w:i w:val="0"/>
          <w:sz w:val="24"/>
          <w:szCs w:val="24"/>
        </w:rPr>
      </w:pPr>
      <m:oMathPara>
        <m:oMath>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LTN</m:t>
              </m:r>
              <m:ctrlPr>
                <w:rPr>
                  <w:rFonts w:ascii="Cambria Math" w:hAnsi="Cambria Math"/>
                  <w:b w:val="0"/>
                  <w:bCs w:val="0"/>
                  <w:sz w:val="24"/>
                  <w:szCs w:val="24"/>
                </w:rPr>
              </m:ctrlPr>
            </m:sub>
          </m:sSub>
          <m:r>
            <m:rPr/>
            <w:rPr>
              <w:rFonts w:ascii="Cambria Math" w:hAnsi="Cambria Math"/>
              <w:sz w:val="24"/>
              <w:szCs w:val="24"/>
            </w:rPr>
            <m:t xml:space="preserve">(θ)  =  1  −  </m:t>
          </m:r>
          <m:sSub>
            <m:sSubPr>
              <m:ctrlPr>
                <w:rPr>
                  <w:rFonts w:ascii="Cambria Math" w:hAnsi="Cambria Math"/>
                  <w:b w:val="0"/>
                  <w:bCs w:val="0"/>
                  <w:sz w:val="24"/>
                  <w:szCs w:val="24"/>
                </w:rPr>
              </m:ctrlPr>
            </m:sSubPr>
            <m:e>
              <m:r>
                <m:rPr/>
                <w:rPr>
                  <w:rFonts w:ascii="Cambria Math" w:hAnsi="Cambria Math"/>
                  <w:sz w:val="24"/>
                  <w:szCs w:val="24"/>
                </w:rPr>
                <m:t>SatAgg</m:t>
              </m:r>
              <m:ctrlPr>
                <w:rPr>
                  <w:rFonts w:ascii="Cambria Math" w:hAnsi="Cambria Math"/>
                  <w:b w:val="0"/>
                  <w:bCs w:val="0"/>
                  <w:sz w:val="24"/>
                  <w:szCs w:val="24"/>
                </w:rPr>
              </m:ctrlPr>
            </m:e>
            <m:sub>
              <m:r>
                <m:rPr/>
                <w:rPr>
                  <w:rFonts w:ascii="Cambria Math" w:hAnsi="Cambria Math"/>
                  <w:sz w:val="24"/>
                  <w:szCs w:val="24"/>
                </w:rPr>
                <m:t>φ∈K</m:t>
              </m:r>
              <m:ctrlPr>
                <w:rPr>
                  <w:rFonts w:ascii="Cambria Math" w:hAnsi="Cambria Math"/>
                  <w:b w:val="0"/>
                  <w:bCs w:val="0"/>
                  <w:sz w:val="24"/>
                  <w:szCs w:val="24"/>
                </w:rPr>
              </m:ctrlPr>
            </m:sub>
          </m:sSub>
          <m:r>
            <m:rPr/>
            <w:rPr>
              <w:rFonts w:ascii="Cambria Math" w:hAnsi="Cambria Math"/>
              <w:sz w:val="24"/>
              <w:szCs w:val="24"/>
            </w:rPr>
            <m:t>G(φ | θ)</m:t>
          </m:r>
        </m:oMath>
      </m:oMathPara>
    </w:p>
    <w:p w14:paraId="658A88DE">
      <w:pPr>
        <w:spacing w:before="100" w:after="100"/>
        <w:jc w:val="center"/>
        <w:rPr>
          <w:rFonts w:hAnsi="Cambria Math"/>
          <w:b w:val="0"/>
          <w:bCs w:val="0"/>
          <w:i w:val="0"/>
          <w:sz w:val="24"/>
          <w:szCs w:val="24"/>
        </w:rPr>
      </w:pPr>
    </w:p>
    <w:p w14:paraId="67A2BFE3">
      <w:pPr>
        <w:spacing w:before="60" w:after="100"/>
        <w:ind w:firstLine="480" w:firstLineChars="200"/>
        <w:jc w:val="both"/>
        <w:rPr>
          <w:b w:val="0"/>
          <w:bCs w:val="0"/>
          <w:sz w:val="24"/>
          <w:szCs w:val="24"/>
        </w:rPr>
      </w:pPr>
      <w:r>
        <w:rPr>
          <w:rFonts w:ascii="Arial" w:hAnsi="Arial" w:eastAsia="Arial" w:cs="Arial"/>
          <w:b w:val="0"/>
          <w:bCs w:val="0"/>
          <w:sz w:val="24"/>
          <w:szCs w:val="24"/>
        </w:rPr>
        <w:t>SatAgg : [0,1]* → [0,1] 是公式聚合算子，通常使用 G(∀) 实现，代表整个知识库的综合满足度。由于 Real Logic 将所有表达式映射到连续域，LTN 对每个子表达式附加梯度，实现端到端的反向传播优化。</w:t>
      </w:r>
    </w:p>
    <w:p w14:paraId="0D1C59F6">
      <w:pPr>
        <w:spacing w:before="40" w:after="40"/>
        <w:rPr>
          <w:b w:val="0"/>
          <w:bCs w:val="0"/>
        </w:rPr>
      </w:pPr>
    </w:p>
    <w:p w14:paraId="1821ABE0">
      <w:pPr>
        <w:pStyle w:val="4"/>
        <w:bidi w:val="0"/>
      </w:pPr>
      <w:r>
        <w:t>2.5 典型示例：猫狗二分类</w:t>
      </w:r>
    </w:p>
    <w:p w14:paraId="5D5A28BA">
      <w:pPr>
        <w:spacing w:before="60" w:after="100"/>
        <w:ind w:firstLine="480" w:firstLineChars="200"/>
        <w:jc w:val="both"/>
        <w:rPr>
          <w:b w:val="0"/>
          <w:bCs w:val="0"/>
          <w:sz w:val="24"/>
          <w:szCs w:val="24"/>
        </w:rPr>
      </w:pPr>
      <w:r>
        <w:rPr>
          <w:rFonts w:ascii="Arial" w:hAnsi="Arial" w:eastAsia="Arial" w:cs="Arial"/>
          <w:b w:val="0"/>
          <w:bCs w:val="0"/>
          <w:sz w:val="24"/>
          <w:szCs w:val="24"/>
        </w:rPr>
        <w:t>LTNtorch 论文（Carraro et al., 2024）给出了猫狗二分类的完整示例，有助于理解 LTN 的运行机制。该示例定义：变量 dog 迭代狗图像批次（G(dog) = R^{b×l×w×c}），变量 cat 迭代猫图像批次，一元谓词 Dog 由卷积神经网络实现：</w:t>
      </w:r>
    </w:p>
    <w:p w14:paraId="24E7663B">
      <w:pPr>
        <w:spacing w:before="40" w:after="40"/>
        <w:rPr>
          <w:b w:val="0"/>
          <w:bCs w:val="0"/>
          <w:sz w:val="24"/>
          <w:szCs w:val="24"/>
        </w:rPr>
      </w:pPr>
    </w:p>
    <w:p w14:paraId="5E3735BD">
      <w:pPr>
        <w:spacing w:before="100" w:after="100"/>
        <w:jc w:val="center"/>
        <w:rPr>
          <w:b w:val="0"/>
          <w:bCs w:val="0"/>
          <w:sz w:val="24"/>
          <w:szCs w:val="24"/>
        </w:rPr>
      </w:pPr>
      <m:oMathPara>
        <m:oMath>
          <m:r>
            <m:rPr/>
            <w:rPr>
              <w:rFonts w:ascii="Cambria Math" w:hAnsi="Cambria Math"/>
              <w:sz w:val="24"/>
              <w:szCs w:val="24"/>
            </w:rPr>
            <m:t>G(Dog | θ)  :  x  ↦  σ(</m:t>
          </m:r>
          <m:sSub>
            <m:sSubPr>
              <m:ctrlPr>
                <w:rPr>
                  <w:rFonts w:ascii="Cambria Math" w:hAnsi="Cambria Math"/>
                  <w:b w:val="0"/>
                  <w:bCs w:val="0"/>
                  <w:sz w:val="24"/>
                  <w:szCs w:val="24"/>
                </w:rPr>
              </m:ctrlPr>
            </m:sSubPr>
            <m:e>
              <m:r>
                <m:rPr/>
                <w:rPr>
                  <w:rFonts w:ascii="Cambria Math" w:hAnsi="Cambria Math"/>
                  <w:sz w:val="24"/>
                  <w:szCs w:val="24"/>
                </w:rPr>
                <m:t>CNN</m:t>
              </m:r>
              <m:ctrlPr>
                <w:rPr>
                  <w:rFonts w:ascii="Cambria Math" w:hAnsi="Cambria Math"/>
                  <w:b w:val="0"/>
                  <w:bCs w:val="0"/>
                  <w:sz w:val="24"/>
                  <w:szCs w:val="24"/>
                </w:rPr>
              </m:ctrlPr>
            </m:e>
            <m:sub>
              <m:r>
                <m:rPr/>
                <w:rPr>
                  <w:rFonts w:ascii="Cambria Math" w:hAnsi="Cambria Math"/>
                  <w:sz w:val="24"/>
                  <w:szCs w:val="24"/>
                </w:rPr>
                <m:t>θ</m:t>
              </m:r>
              <m:ctrlPr>
                <w:rPr>
                  <w:rFonts w:ascii="Cambria Math" w:hAnsi="Cambria Math"/>
                  <w:b w:val="0"/>
                  <w:bCs w:val="0"/>
                  <w:sz w:val="24"/>
                  <w:szCs w:val="24"/>
                </w:rPr>
              </m:ctrlPr>
            </m:sub>
          </m:sSub>
          <m:r>
            <m:rPr/>
            <w:rPr>
              <w:rFonts w:ascii="Cambria Math" w:hAnsi="Cambria Math"/>
              <w:sz w:val="24"/>
              <w:szCs w:val="24"/>
            </w:rPr>
            <m:t>(x))  ∈  [0, 1]</m:t>
          </m:r>
        </m:oMath>
      </m:oMathPara>
    </w:p>
    <w:p w14:paraId="5E45107D">
      <w:pPr>
        <w:spacing w:before="40" w:after="40"/>
        <w:rPr>
          <w:b w:val="0"/>
          <w:bCs w:val="0"/>
          <w:sz w:val="24"/>
          <w:szCs w:val="24"/>
        </w:rPr>
      </w:pPr>
    </w:p>
    <w:p w14:paraId="046D6FC4">
      <w:pPr>
        <w:spacing w:before="60" w:after="100"/>
        <w:jc w:val="both"/>
        <w:rPr>
          <w:b w:val="0"/>
          <w:bCs w:val="0"/>
          <w:sz w:val="24"/>
          <w:szCs w:val="24"/>
        </w:rPr>
      </w:pPr>
      <w:r>
        <w:rPr>
          <w:rFonts w:ascii="Arial" w:hAnsi="Arial" w:eastAsia="Arial" w:cs="Arial"/>
          <w:b w:val="0"/>
          <w:bCs w:val="0"/>
          <w:sz w:val="24"/>
          <w:szCs w:val="24"/>
        </w:rPr>
        <w:t>知识库 K = {φ₁, φ₂}，其中 φ₁ = ∀dog Dog(dog)（所有狗图像判为狗），φ₂ = ∀cat ¬Dog(cat)（所有猫图像判为非狗）。对应损失函数：</w:t>
      </w:r>
    </w:p>
    <w:p w14:paraId="5CF34C98">
      <w:pPr>
        <w:spacing w:before="40" w:after="40"/>
        <w:rPr>
          <w:b w:val="0"/>
          <w:bCs w:val="0"/>
          <w:sz w:val="24"/>
          <w:szCs w:val="24"/>
        </w:rPr>
      </w:pPr>
    </w:p>
    <w:p w14:paraId="740014AD">
      <w:pPr>
        <w:spacing w:before="100" w:after="100"/>
        <w:jc w:val="center"/>
        <w:rPr>
          <w:b w:val="0"/>
          <w:bCs w:val="0"/>
          <w:sz w:val="24"/>
          <w:szCs w:val="24"/>
        </w:rPr>
      </w:pPr>
      <m:oMathPara>
        <m:oMath>
          <m:r>
            <m:rPr/>
            <w:rPr>
              <w:rFonts w:ascii="Cambria Math" w:hAnsi="Cambria Math"/>
              <w:sz w:val="24"/>
              <w:szCs w:val="24"/>
            </w:rPr>
            <m:t xml:space="preserve">L(θ)  =  1  −  </m:t>
          </m:r>
          <m:sSub>
            <m:sSubPr>
              <m:ctrlPr>
                <w:rPr>
                  <w:rFonts w:ascii="Cambria Math" w:hAnsi="Cambria Math"/>
                  <w:b w:val="0"/>
                  <w:bCs w:val="0"/>
                  <w:sz w:val="24"/>
                  <w:szCs w:val="24"/>
                </w:rPr>
              </m:ctrlPr>
            </m:sSubPr>
            <m:e>
              <m:r>
                <m:rPr/>
                <w:rPr>
                  <w:rFonts w:ascii="Cambria Math" w:hAnsi="Cambria Math"/>
                  <w:sz w:val="24"/>
                  <w:szCs w:val="24"/>
                </w:rPr>
                <m:t>SatAgg</m:t>
              </m:r>
              <m:ctrlPr>
                <w:rPr>
                  <w:rFonts w:ascii="Cambria Math" w:hAnsi="Cambria Math"/>
                  <w:b w:val="0"/>
                  <w:bCs w:val="0"/>
                  <w:sz w:val="24"/>
                  <w:szCs w:val="24"/>
                </w:rPr>
              </m:ctrlPr>
            </m:e>
            <m:sub>
              <m:r>
                <m:rPr/>
                <w:rPr>
                  <w:rFonts w:ascii="Cambria Math" w:hAnsi="Cambria Math"/>
                  <w:sz w:val="24"/>
                  <w:szCs w:val="24"/>
                </w:rPr>
                <m:t>φ∈K</m:t>
              </m:r>
              <m:ctrlPr>
                <w:rPr>
                  <w:rFonts w:ascii="Cambria Math" w:hAnsi="Cambria Math"/>
                  <w:b w:val="0"/>
                  <w:bCs w:val="0"/>
                  <w:sz w:val="24"/>
                  <w:szCs w:val="24"/>
                </w:rPr>
              </m:ctrlPr>
            </m:sub>
          </m:sSub>
          <m:sSup>
            <m:sSupPr>
              <m:ctrlPr>
                <w:rPr>
                  <w:rFonts w:ascii="Cambria Math" w:hAnsi="Cambria Math"/>
                  <w:b w:val="0"/>
                  <w:bCs w:val="0"/>
                  <w:sz w:val="24"/>
                  <w:szCs w:val="24"/>
                </w:rPr>
              </m:ctrlPr>
            </m:sSupPr>
            <m:e>
              <m:r>
                <m:rPr/>
                <w:rPr>
                  <w:rFonts w:ascii="Cambria Math" w:hAnsi="Cambria Math"/>
                  <w:sz w:val="24"/>
                  <w:szCs w:val="24"/>
                </w:rPr>
                <m:t>G</m:t>
              </m:r>
              <m:ctrlPr>
                <w:rPr>
                  <w:rFonts w:ascii="Cambria Math" w:hAnsi="Cambria Math"/>
                  <w:b w:val="0"/>
                  <w:bCs w:val="0"/>
                  <w:sz w:val="24"/>
                  <w:szCs w:val="24"/>
                </w:rPr>
              </m:ctrlPr>
            </m:e>
            <m:sup>
              <m:r>
                <m:rPr/>
                <w:rPr>
                  <w:rFonts w:ascii="Cambria Math" w:hAnsi="Cambria Math"/>
                  <w:sz w:val="24"/>
                  <w:szCs w:val="24"/>
                </w:rPr>
                <m:t>dog←B_dog, cat←B_cat</m:t>
              </m:r>
              <m:ctrlPr>
                <w:rPr>
                  <w:rFonts w:ascii="Cambria Math" w:hAnsi="Cambria Math"/>
                  <w:b w:val="0"/>
                  <w:bCs w:val="0"/>
                  <w:sz w:val="24"/>
                  <w:szCs w:val="24"/>
                </w:rPr>
              </m:ctrlPr>
            </m:sup>
          </m:sSup>
          <m:r>
            <m:rPr/>
            <w:rPr>
              <w:rFonts w:ascii="Cambria Math" w:hAnsi="Cambria Math"/>
              <w:sz w:val="24"/>
              <w:szCs w:val="24"/>
            </w:rPr>
            <m:t>(φ | θ)</m:t>
          </m:r>
        </m:oMath>
      </m:oMathPara>
    </w:p>
    <w:p w14:paraId="6F0AE8C2">
      <w:pPr>
        <w:spacing w:before="60" w:after="100"/>
        <w:jc w:val="both"/>
        <w:rPr>
          <w:b w:val="0"/>
          <w:bCs w:val="0"/>
          <w:sz w:val="24"/>
          <w:szCs w:val="24"/>
        </w:rPr>
      </w:pPr>
      <w:r>
        <w:rPr>
          <w:rFonts w:ascii="Arial" w:hAnsi="Arial" w:eastAsia="Arial" w:cs="Arial"/>
          <w:b w:val="0"/>
          <w:bCs w:val="0"/>
          <w:sz w:val="24"/>
          <w:szCs w:val="24"/>
        </w:rPr>
        <w:t>该示例的核心局限在于：（1）仅有1个谓词和2条规则；（2）两类样本量均衡；（3）没有多标签的谓词间约束。本实验所面对的挑战远比这复杂，需要针对性的改进方案。</w:t>
      </w:r>
    </w:p>
    <w:p w14:paraId="1459D9CC">
      <w:pPr>
        <w:spacing w:before="40" w:after="40"/>
        <w:rPr>
          <w:b w:val="0"/>
          <w:bCs w:val="0"/>
        </w:rPr>
      </w:pPr>
    </w:p>
    <w:p w14:paraId="098BCFB4">
      <w:pPr>
        <w:pStyle w:val="3"/>
        <w:bidi w:val="0"/>
      </w:pPr>
      <w:r>
        <w:t>第 3 章  数据集与特征工程</w:t>
      </w:r>
    </w:p>
    <w:p w14:paraId="5A27E95F">
      <w:pPr>
        <w:pStyle w:val="4"/>
        <w:bidi w:val="0"/>
      </w:pPr>
      <w:r>
        <w:t>3.1 CNF 数学公理数据集</w:t>
      </w:r>
    </w:p>
    <w:p w14:paraId="3DC81599">
      <w:pPr>
        <w:spacing w:before="60" w:after="100"/>
        <w:ind w:firstLine="480" w:firstLineChars="200"/>
        <w:jc w:val="both"/>
        <w:rPr>
          <w:b w:val="0"/>
          <w:bCs w:val="0"/>
          <w:sz w:val="24"/>
          <w:szCs w:val="24"/>
        </w:rPr>
      </w:pPr>
      <w:r>
        <w:rPr>
          <w:rFonts w:ascii="Arial" w:hAnsi="Arial" w:eastAsia="Arial" w:cs="Arial"/>
          <w:b w:val="0"/>
          <w:bCs w:val="0"/>
          <w:sz w:val="24"/>
          <w:szCs w:val="24"/>
        </w:rPr>
        <w:t>实验数据来源于 CNF（Conjunctive Normal Form，合取范式）格式的数学公理文件，以 FOF（First-Order Formula）语法表示，数据集包含来自 TPTP（Thousands of Problems for Theorem Provers）类型数学库的公理集合。</w:t>
      </w:r>
    </w:p>
    <w:tbl>
      <w:tblPr>
        <w:tblStyle w:val="11"/>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026"/>
      </w:tblGrid>
      <w:tr w14:paraId="4E58B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4EF2D1EA">
            <w:pPr>
              <w:jc w:val="center"/>
              <w:rPr>
                <w:b w:val="0"/>
                <w:bCs w:val="0"/>
              </w:rPr>
            </w:pPr>
            <w:r>
              <w:rPr>
                <w:rFonts w:ascii="Arial" w:hAnsi="Arial" w:eastAsia="Arial" w:cs="Arial"/>
                <w:b w:val="0"/>
                <w:bCs w:val="0"/>
                <w:color w:val="FFFFFF"/>
                <w:sz w:val="20"/>
                <w:szCs w:val="20"/>
              </w:rPr>
              <w:t>统计量</w:t>
            </w:r>
          </w:p>
        </w:tc>
        <w:tc>
          <w:tcPr>
            <w:tcW w:w="1800"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14D6858D">
            <w:pPr>
              <w:jc w:val="center"/>
              <w:rPr>
                <w:b w:val="0"/>
                <w:bCs w:val="0"/>
              </w:rPr>
            </w:pPr>
            <w:r>
              <w:rPr>
                <w:rFonts w:ascii="Arial" w:hAnsi="Arial" w:eastAsia="Arial" w:cs="Arial"/>
                <w:b w:val="0"/>
                <w:bCs w:val="0"/>
                <w:color w:val="FFFFFF"/>
                <w:sz w:val="20"/>
                <w:szCs w:val="20"/>
              </w:rPr>
              <w:t>数值</w:t>
            </w:r>
          </w:p>
        </w:tc>
        <w:tc>
          <w:tcPr>
            <w:tcW w:w="5026" w:type="dxa"/>
            <w:tcBorders>
              <w:top w:val="single" w:color="1F5C8B" w:sz="2" w:space="0"/>
              <w:left w:val="single" w:color="1F5C8B" w:sz="2" w:space="0"/>
              <w:bottom w:val="single" w:color="1F5C8B" w:sz="2" w:space="0"/>
              <w:right w:val="single" w:color="1F5C8B" w:sz="2" w:space="0"/>
            </w:tcBorders>
            <w:shd w:val="clear" w:color="auto" w:fill="2E4057"/>
            <w:tcMar>
              <w:top w:w="80" w:type="dxa"/>
              <w:left w:w="100" w:type="dxa"/>
              <w:bottom w:w="80" w:type="dxa"/>
              <w:right w:w="100" w:type="dxa"/>
            </w:tcMar>
          </w:tcPr>
          <w:p w14:paraId="79A0E665">
            <w:pPr>
              <w:jc w:val="center"/>
              <w:rPr>
                <w:b w:val="0"/>
                <w:bCs w:val="0"/>
              </w:rPr>
            </w:pPr>
            <w:r>
              <w:rPr>
                <w:rFonts w:ascii="Arial" w:hAnsi="Arial" w:eastAsia="Arial" w:cs="Arial"/>
                <w:b w:val="0"/>
                <w:bCs w:val="0"/>
                <w:color w:val="FFFFFF"/>
                <w:sz w:val="20"/>
                <w:szCs w:val="20"/>
              </w:rPr>
              <w:t>说明</w:t>
            </w:r>
          </w:p>
        </w:tc>
      </w:tr>
      <w:tr w14:paraId="3B592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193A1A9">
            <w:pPr>
              <w:jc w:val="center"/>
              <w:rPr>
                <w:b w:val="0"/>
                <w:bCs w:val="0"/>
              </w:rPr>
            </w:pPr>
            <w:r>
              <w:rPr>
                <w:rFonts w:ascii="Arial" w:hAnsi="Arial" w:eastAsia="Arial" w:cs="Arial"/>
                <w:b w:val="0"/>
                <w:bCs w:val="0"/>
                <w:sz w:val="20"/>
                <w:szCs w:val="20"/>
              </w:rPr>
              <w:t>公理总数</w:t>
            </w:r>
          </w:p>
        </w:tc>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A2CD29F">
            <w:pPr>
              <w:jc w:val="center"/>
              <w:rPr>
                <w:b w:val="0"/>
                <w:bCs w:val="0"/>
              </w:rPr>
            </w:pPr>
            <w:r>
              <w:rPr>
                <w:rFonts w:ascii="Arial" w:hAnsi="Arial" w:eastAsia="Arial" w:cs="Arial"/>
                <w:b w:val="0"/>
                <w:bCs w:val="0"/>
                <w:sz w:val="20"/>
                <w:szCs w:val="20"/>
              </w:rPr>
              <w:t>4,564 条</w:t>
            </w:r>
          </w:p>
        </w:tc>
        <w:tc>
          <w:tcPr>
            <w:tcW w:w="5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3C4EDBD">
            <w:pPr>
              <w:jc w:val="center"/>
              <w:rPr>
                <w:b w:val="0"/>
                <w:bCs w:val="0"/>
              </w:rPr>
            </w:pPr>
            <w:r>
              <w:rPr>
                <w:rFonts w:ascii="Arial" w:hAnsi="Arial" w:eastAsia="Arial" w:cs="Arial"/>
                <w:b w:val="0"/>
                <w:bCs w:val="0"/>
                <w:sz w:val="20"/>
                <w:szCs w:val="20"/>
              </w:rPr>
              <w:t>全量数据</w:t>
            </w:r>
          </w:p>
        </w:tc>
      </w:tr>
      <w:tr w14:paraId="0841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6F25D53">
            <w:pPr>
              <w:jc w:val="center"/>
              <w:rPr>
                <w:b w:val="0"/>
                <w:bCs w:val="0"/>
              </w:rPr>
            </w:pPr>
            <w:r>
              <w:rPr>
                <w:rFonts w:ascii="Arial" w:hAnsi="Arial" w:eastAsia="Arial" w:cs="Arial"/>
                <w:b w:val="0"/>
                <w:bCs w:val="0"/>
                <w:sz w:val="20"/>
                <w:szCs w:val="20"/>
              </w:rPr>
              <w:t>符号表规模</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03F936D">
            <w:pPr>
              <w:jc w:val="center"/>
              <w:rPr>
                <w:b w:val="0"/>
                <w:bCs w:val="0"/>
              </w:rPr>
            </w:pPr>
            <w:r>
              <w:rPr>
                <w:rFonts w:ascii="Arial" w:hAnsi="Arial" w:eastAsia="Arial" w:cs="Arial"/>
                <w:b w:val="0"/>
                <w:bCs w:val="0"/>
                <w:sz w:val="20"/>
                <w:szCs w:val="20"/>
              </w:rPr>
              <w:t>2,685 个</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CDE9B30">
            <w:pPr>
              <w:jc w:val="center"/>
              <w:rPr>
                <w:b w:val="0"/>
                <w:bCs w:val="0"/>
              </w:rPr>
            </w:pPr>
            <w:r>
              <w:rPr>
                <w:rFonts w:ascii="Arial" w:hAnsi="Arial" w:eastAsia="Arial" w:cs="Arial"/>
                <w:b w:val="0"/>
                <w:bCs w:val="0"/>
                <w:sz w:val="20"/>
                <w:szCs w:val="20"/>
              </w:rPr>
              <w:t>去重后的非 Skolem 符号</w:t>
            </w:r>
          </w:p>
        </w:tc>
      </w:tr>
      <w:tr w14:paraId="24E1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E0BE8C0">
            <w:pPr>
              <w:jc w:val="center"/>
              <w:rPr>
                <w:b w:val="0"/>
                <w:bCs w:val="0"/>
              </w:rPr>
            </w:pPr>
            <w:r>
              <w:rPr>
                <w:rFonts w:ascii="Arial" w:hAnsi="Arial" w:eastAsia="Arial" w:cs="Arial"/>
                <w:b w:val="0"/>
                <w:bCs w:val="0"/>
                <w:sz w:val="20"/>
                <w:szCs w:val="20"/>
              </w:rPr>
              <w:t>训练集</w:t>
            </w:r>
          </w:p>
        </w:tc>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3024945">
            <w:pPr>
              <w:jc w:val="center"/>
              <w:rPr>
                <w:b w:val="0"/>
                <w:bCs w:val="0"/>
              </w:rPr>
            </w:pPr>
            <w:r>
              <w:rPr>
                <w:rFonts w:ascii="Arial" w:hAnsi="Arial" w:eastAsia="Arial" w:cs="Arial"/>
                <w:b w:val="0"/>
                <w:bCs w:val="0"/>
                <w:sz w:val="20"/>
                <w:szCs w:val="20"/>
              </w:rPr>
              <w:t>3,651 条</w:t>
            </w:r>
          </w:p>
        </w:tc>
        <w:tc>
          <w:tcPr>
            <w:tcW w:w="5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37D750B">
            <w:pPr>
              <w:jc w:val="center"/>
              <w:rPr>
                <w:b w:val="0"/>
                <w:bCs w:val="0"/>
              </w:rPr>
            </w:pPr>
            <w:r>
              <w:rPr>
                <w:rFonts w:ascii="Arial" w:hAnsi="Arial" w:eastAsia="Arial" w:cs="Arial"/>
                <w:b w:val="0"/>
                <w:bCs w:val="0"/>
                <w:sz w:val="20"/>
                <w:szCs w:val="20"/>
              </w:rPr>
              <w:t>80%，固定随机种子 42</w:t>
            </w:r>
          </w:p>
        </w:tc>
      </w:tr>
      <w:tr w14:paraId="0694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19209EB">
            <w:pPr>
              <w:jc w:val="center"/>
              <w:rPr>
                <w:b w:val="0"/>
                <w:bCs w:val="0"/>
              </w:rPr>
            </w:pPr>
            <w:r>
              <w:rPr>
                <w:rFonts w:ascii="Arial" w:hAnsi="Arial" w:eastAsia="Arial" w:cs="Arial"/>
                <w:b w:val="0"/>
                <w:bCs w:val="0"/>
                <w:sz w:val="20"/>
                <w:szCs w:val="20"/>
              </w:rPr>
              <w:t>测试集</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3AC005E">
            <w:pPr>
              <w:jc w:val="center"/>
              <w:rPr>
                <w:b w:val="0"/>
                <w:bCs w:val="0"/>
              </w:rPr>
            </w:pPr>
            <w:r>
              <w:rPr>
                <w:rFonts w:ascii="Arial" w:hAnsi="Arial" w:eastAsia="Arial" w:cs="Arial"/>
                <w:b w:val="0"/>
                <w:bCs w:val="0"/>
                <w:sz w:val="20"/>
                <w:szCs w:val="20"/>
              </w:rPr>
              <w:t>913 条</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0AA224C">
            <w:pPr>
              <w:jc w:val="center"/>
              <w:rPr>
                <w:b w:val="0"/>
                <w:bCs w:val="0"/>
              </w:rPr>
            </w:pPr>
            <w:r>
              <w:rPr>
                <w:rFonts w:ascii="Arial" w:hAnsi="Arial" w:eastAsia="Arial" w:cs="Arial"/>
                <w:b w:val="0"/>
                <w:bCs w:val="0"/>
                <w:sz w:val="20"/>
                <w:szCs w:val="20"/>
              </w:rPr>
              <w:t>20%，与训练集不重叠</w:t>
            </w:r>
          </w:p>
        </w:tc>
      </w:tr>
      <w:tr w14:paraId="7B1C5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A13522D">
            <w:pPr>
              <w:jc w:val="center"/>
              <w:rPr>
                <w:b w:val="0"/>
                <w:bCs w:val="0"/>
              </w:rPr>
            </w:pPr>
            <w:r>
              <w:rPr>
                <w:rFonts w:ascii="Arial" w:hAnsi="Arial" w:eastAsia="Arial" w:cs="Arial"/>
                <w:b w:val="0"/>
                <w:bCs w:val="0"/>
                <w:sz w:val="20"/>
                <w:szCs w:val="20"/>
              </w:rPr>
              <w:t>TF-IDF 维度</w:t>
            </w:r>
          </w:p>
        </w:tc>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D9331C7">
            <w:pPr>
              <w:jc w:val="center"/>
              <w:rPr>
                <w:b w:val="0"/>
                <w:bCs w:val="0"/>
              </w:rPr>
            </w:pPr>
            <w:r>
              <w:rPr>
                <w:rFonts w:ascii="Arial" w:hAnsi="Arial" w:eastAsia="Arial" w:cs="Arial"/>
                <w:b w:val="0"/>
                <w:bCs w:val="0"/>
                <w:sz w:val="20"/>
                <w:szCs w:val="20"/>
              </w:rPr>
              <w:t>300 维</w:t>
            </w:r>
          </w:p>
        </w:tc>
        <w:tc>
          <w:tcPr>
            <w:tcW w:w="5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A90A47D">
            <w:pPr>
              <w:jc w:val="center"/>
              <w:rPr>
                <w:b w:val="0"/>
                <w:bCs w:val="0"/>
              </w:rPr>
            </w:pPr>
            <w:r>
              <w:rPr>
                <w:rFonts w:ascii="Arial" w:hAnsi="Arial" w:eastAsia="Arial" w:cs="Arial"/>
                <w:b w:val="0"/>
                <w:bCs w:val="0"/>
                <w:sz w:val="20"/>
                <w:szCs w:val="20"/>
              </w:rPr>
              <w:t>top-300 高频非 Skolem 符号</w:t>
            </w:r>
          </w:p>
        </w:tc>
      </w:tr>
      <w:tr w14:paraId="080F6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52BE58E">
            <w:pPr>
              <w:jc w:val="center"/>
              <w:rPr>
                <w:b w:val="0"/>
                <w:bCs w:val="0"/>
              </w:rPr>
            </w:pPr>
            <w:r>
              <w:rPr>
                <w:rFonts w:ascii="Arial" w:hAnsi="Arial" w:eastAsia="Arial" w:cs="Arial"/>
                <w:b w:val="0"/>
                <w:bCs w:val="0"/>
                <w:sz w:val="20"/>
                <w:szCs w:val="20"/>
              </w:rPr>
              <w:t>非零特征比例</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28602DF">
            <w:pPr>
              <w:jc w:val="center"/>
              <w:rPr>
                <w:b w:val="0"/>
                <w:bCs w:val="0"/>
              </w:rPr>
            </w:pPr>
            <w:r>
              <w:rPr>
                <w:rFonts w:ascii="Arial" w:hAnsi="Arial" w:eastAsia="Arial" w:cs="Arial"/>
                <w:b w:val="0"/>
                <w:bCs w:val="0"/>
                <w:sz w:val="20"/>
                <w:szCs w:val="20"/>
              </w:rPr>
              <w:t>约 2.0%</w:t>
            </w:r>
          </w:p>
        </w:tc>
        <w:tc>
          <w:tcPr>
            <w:tcW w:w="5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CD5A962">
            <w:pPr>
              <w:jc w:val="center"/>
              <w:rPr>
                <w:b w:val="0"/>
                <w:bCs w:val="0"/>
              </w:rPr>
            </w:pPr>
            <w:r>
              <w:rPr>
                <w:rFonts w:ascii="Arial" w:hAnsi="Arial" w:eastAsia="Arial" w:cs="Arial"/>
                <w:b w:val="0"/>
                <w:bCs w:val="0"/>
                <w:sz w:val="20"/>
                <w:szCs w:val="20"/>
              </w:rPr>
              <w:t>稀疏向量</w:t>
            </w:r>
          </w:p>
        </w:tc>
      </w:tr>
    </w:tbl>
    <w:p w14:paraId="70B3D94C">
      <w:pPr>
        <w:spacing w:before="40" w:after="40"/>
        <w:rPr>
          <w:b w:val="0"/>
          <w:bCs w:val="0"/>
        </w:rPr>
      </w:pPr>
    </w:p>
    <w:p w14:paraId="5A00DA6C">
      <w:pPr>
        <w:pStyle w:val="4"/>
        <w:bidi w:val="0"/>
      </w:pPr>
      <w:r>
        <w:t>3.2 公理格式解析</w:t>
      </w:r>
    </w:p>
    <w:p w14:paraId="1CED36C8">
      <w:pPr>
        <w:spacing w:before="60" w:after="100"/>
        <w:ind w:firstLine="480" w:firstLineChars="200"/>
        <w:jc w:val="both"/>
        <w:rPr>
          <w:b w:val="0"/>
          <w:bCs w:val="0"/>
          <w:sz w:val="24"/>
          <w:szCs w:val="24"/>
        </w:rPr>
      </w:pPr>
      <w:r>
        <w:rPr>
          <w:rFonts w:ascii="Arial" w:hAnsi="Arial" w:eastAsia="Arial" w:cs="Arial"/>
          <w:b w:val="0"/>
          <w:bCs w:val="0"/>
          <w:sz w:val="24"/>
          <w:szCs w:val="24"/>
        </w:rPr>
        <w:t>每条公理以标准 FOF 格式存储，格式为 fof(名称, 类型, 逻辑内容)。示例如下：</w:t>
      </w:r>
    </w:p>
    <w:p w14:paraId="68A66C8C">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fof(t1_xboole_0, theorem,  ! [A] : ( A \ {} = A ) ).</w:t>
      </w:r>
    </w:p>
    <w:p w14:paraId="0682CBF7">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fof(d1_xboole_0, definition,  ! [A] : ( A = {} &lt;=&gt; ! [B] : ~ in(B, A) ) ).</w:t>
      </w:r>
    </w:p>
    <w:p w14:paraId="0213B53F">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fof(commutativity_k2_xboole_0, axiom,  ! [A,B] : k2_xboole_0(A,B) = k2_xboole_0(B,A) ).</w:t>
      </w:r>
    </w:p>
    <w:p w14:paraId="17A9F10D">
      <w:pPr>
        <w:spacing w:before="40" w:after="40"/>
        <w:rPr>
          <w:b w:val="0"/>
          <w:bCs w:val="0"/>
          <w:sz w:val="24"/>
          <w:szCs w:val="24"/>
        </w:rPr>
      </w:pPr>
    </w:p>
    <w:p w14:paraId="0A8D1079">
      <w:pPr>
        <w:spacing w:before="60" w:after="100"/>
        <w:ind w:firstLine="480" w:firstLineChars="200"/>
        <w:jc w:val="both"/>
        <w:rPr>
          <w:b w:val="0"/>
          <w:bCs w:val="0"/>
          <w:sz w:val="24"/>
          <w:szCs w:val="24"/>
        </w:rPr>
      </w:pPr>
      <w:r>
        <w:rPr>
          <w:rFonts w:ascii="Arial" w:hAnsi="Arial" w:eastAsia="Arial" w:cs="Arial"/>
          <w:b w:val="0"/>
          <w:bCs w:val="0"/>
          <w:sz w:val="24"/>
          <w:szCs w:val="24"/>
        </w:rPr>
        <w:t>解析流程：(1) 正则匹配 fof(name, type, ...) 提取公理名称；(2) 提取所有函数调用符号（pattern: sym(args)），排除 fof 本身；(3) 过滤 Skolem 符号（匹配 sk\d+）——这些是自动引入的辅助函数，不含领域语义；(4) 按前缀将符号分为三类：r\d+_（集合关系符号）、v\d+_（属性/集合符号）、k\d+_（函子/运算符号）。</w:t>
      </w:r>
    </w:p>
    <w:p w14:paraId="61A31BE5">
      <w:pPr>
        <w:spacing w:before="40" w:after="40"/>
        <w:rPr>
          <w:b w:val="0"/>
          <w:bCs w:val="0"/>
        </w:rPr>
      </w:pPr>
    </w:p>
    <w:p w14:paraId="73F124A2">
      <w:pPr>
        <w:pStyle w:val="4"/>
        <w:bidi w:val="0"/>
      </w:pPr>
      <w:r>
        <w:t>3.3 标签定义</w:t>
      </w:r>
    </w:p>
    <w:p w14:paraId="5B09A63D">
      <w:pPr>
        <w:spacing w:before="60" w:after="120"/>
        <w:jc w:val="center"/>
        <w:rPr>
          <w:b/>
          <w:bCs/>
          <w:i w:val="0"/>
          <w:iCs w:val="0"/>
          <w:color w:val="000000" w:themeColor="text1"/>
          <w14:textFill>
            <w14:solidFill>
              <w14:schemeClr w14:val="tx1"/>
            </w14:solidFill>
          </w14:textFill>
        </w:rPr>
      </w:pPr>
      <w:r>
        <w:rPr>
          <w:rFonts w:ascii="Arial" w:hAnsi="Arial" w:eastAsia="Arial" w:cs="Arial"/>
          <w:b/>
          <w:bCs/>
          <w:i w:val="0"/>
          <w:iCs w:val="0"/>
          <w:color w:val="000000" w:themeColor="text1"/>
          <w:sz w:val="20"/>
          <w:szCs w:val="20"/>
          <w14:textFill>
            <w14:solidFill>
              <w14:schemeClr w14:val="tx1"/>
            </w14:solidFill>
          </w14:textFill>
        </w:rPr>
        <w:t>表 3.1  7 个分类谓词的定义规则与正例分布</w:t>
      </w:r>
    </w:p>
    <w:tbl>
      <w:tblPr>
        <w:tblStyle w:val="11"/>
        <w:tblW w:w="8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2885"/>
        <w:gridCol w:w="1115"/>
        <w:gridCol w:w="1200"/>
        <w:gridCol w:w="1526"/>
      </w:tblGrid>
      <w:tr w14:paraId="1356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AD345FE">
            <w:pPr>
              <w:jc w:val="center"/>
              <w:rPr>
                <w:b w:val="0"/>
                <w:bCs w:val="0"/>
              </w:rPr>
            </w:pPr>
            <w:r>
              <w:rPr>
                <w:rFonts w:ascii="Arial" w:hAnsi="Arial" w:eastAsia="Arial" w:cs="Arial"/>
                <w:b w:val="0"/>
                <w:bCs w:val="0"/>
                <w:color w:val="FFFFFF"/>
                <w:sz w:val="20"/>
                <w:szCs w:val="20"/>
              </w:rPr>
              <w:t>谓词</w:t>
            </w:r>
          </w:p>
        </w:tc>
        <w:tc>
          <w:tcPr>
            <w:tcW w:w="2885"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70FA3296">
            <w:pPr>
              <w:jc w:val="center"/>
              <w:rPr>
                <w:b w:val="0"/>
                <w:bCs w:val="0"/>
              </w:rPr>
            </w:pPr>
            <w:r>
              <w:rPr>
                <w:rFonts w:ascii="Arial" w:hAnsi="Arial" w:eastAsia="Arial" w:cs="Arial"/>
                <w:b w:val="0"/>
                <w:bCs w:val="0"/>
                <w:color w:val="FFFFFF"/>
                <w:sz w:val="20"/>
                <w:szCs w:val="20"/>
              </w:rPr>
              <w:t>定义规则</w:t>
            </w:r>
          </w:p>
        </w:tc>
        <w:tc>
          <w:tcPr>
            <w:tcW w:w="1115"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AE9EE14">
            <w:pPr>
              <w:jc w:val="center"/>
              <w:rPr>
                <w:b w:val="0"/>
                <w:bCs w:val="0"/>
              </w:rPr>
            </w:pPr>
            <w:r>
              <w:rPr>
                <w:rFonts w:ascii="Arial" w:hAnsi="Arial" w:eastAsia="Arial" w:cs="Arial"/>
                <w:b w:val="0"/>
                <w:bCs w:val="0"/>
                <w:color w:val="FFFFFF"/>
                <w:sz w:val="20"/>
                <w:szCs w:val="20"/>
              </w:rPr>
              <w:t>训练正例率</w:t>
            </w:r>
          </w:p>
        </w:tc>
        <w:tc>
          <w:tcPr>
            <w:tcW w:w="12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AC23DEE">
            <w:pPr>
              <w:jc w:val="center"/>
              <w:rPr>
                <w:b w:val="0"/>
                <w:bCs w:val="0"/>
              </w:rPr>
            </w:pPr>
            <w:r>
              <w:rPr>
                <w:rFonts w:ascii="Arial" w:hAnsi="Arial" w:eastAsia="Arial" w:cs="Arial"/>
                <w:b w:val="0"/>
                <w:bCs w:val="0"/>
                <w:color w:val="FFFFFF"/>
                <w:sz w:val="20"/>
                <w:szCs w:val="20"/>
              </w:rPr>
              <w:t>测试正例/总</w:t>
            </w:r>
          </w:p>
        </w:tc>
        <w:tc>
          <w:tcPr>
            <w:tcW w:w="1526"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B545145">
            <w:pPr>
              <w:jc w:val="center"/>
              <w:rPr>
                <w:b w:val="0"/>
                <w:bCs w:val="0"/>
              </w:rPr>
            </w:pPr>
            <w:r>
              <w:rPr>
                <w:rFonts w:ascii="Arial" w:hAnsi="Arial" w:eastAsia="Arial" w:cs="Arial"/>
                <w:b w:val="0"/>
                <w:bCs w:val="0"/>
                <w:color w:val="FFFFFF"/>
                <w:sz w:val="20"/>
                <w:szCs w:val="20"/>
              </w:rPr>
              <w:t>类别挑战</w:t>
            </w:r>
          </w:p>
        </w:tc>
      </w:tr>
      <w:tr w14:paraId="51C6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6A9F959">
            <w:pPr>
              <w:jc w:val="center"/>
              <w:rPr>
                <w:b w:val="0"/>
                <w:bCs w:val="0"/>
              </w:rPr>
            </w:pPr>
            <w:r>
              <w:rPr>
                <w:rFonts w:ascii="Arial" w:hAnsi="Arial" w:eastAsia="Arial" w:cs="Arial"/>
                <w:b w:val="0"/>
                <w:bCs w:val="0"/>
                <w:sz w:val="20"/>
                <w:szCs w:val="20"/>
              </w:rPr>
              <w:t>theorem</w:t>
            </w:r>
          </w:p>
        </w:tc>
        <w:tc>
          <w:tcPr>
            <w:tcW w:w="288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5F9EC0">
            <w:pPr>
              <w:jc w:val="center"/>
              <w:rPr>
                <w:b w:val="0"/>
                <w:bCs w:val="0"/>
              </w:rPr>
            </w:pPr>
            <w:r>
              <w:rPr>
                <w:rFonts w:ascii="Arial" w:hAnsi="Arial" w:eastAsia="Arial" w:cs="Arial"/>
                <w:b w:val="0"/>
                <w:bCs w:val="0"/>
                <w:sz w:val="20"/>
                <w:szCs w:val="20"/>
              </w:rPr>
              <w:t>名称匹配 t\d+_</w:t>
            </w:r>
          </w:p>
        </w:tc>
        <w:tc>
          <w:tcPr>
            <w:tcW w:w="111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4E197E4">
            <w:pPr>
              <w:jc w:val="center"/>
              <w:rPr>
                <w:b w:val="0"/>
                <w:bCs w:val="0"/>
              </w:rPr>
            </w:pPr>
            <w:r>
              <w:rPr>
                <w:rFonts w:ascii="Arial" w:hAnsi="Arial" w:eastAsia="Arial" w:cs="Arial"/>
                <w:b w:val="0"/>
                <w:bCs w:val="0"/>
                <w:sz w:val="20"/>
                <w:szCs w:val="20"/>
              </w:rPr>
              <w:t>49.8%</w:t>
            </w:r>
          </w:p>
        </w:tc>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8906E30">
            <w:pPr>
              <w:jc w:val="center"/>
              <w:rPr>
                <w:b w:val="0"/>
                <w:bCs w:val="0"/>
              </w:rPr>
            </w:pPr>
            <w:r>
              <w:rPr>
                <w:rFonts w:ascii="Arial" w:hAnsi="Arial" w:eastAsia="Arial" w:cs="Arial"/>
                <w:b w:val="0"/>
                <w:bCs w:val="0"/>
                <w:sz w:val="20"/>
                <w:szCs w:val="20"/>
              </w:rPr>
              <w:t>465/913</w:t>
            </w:r>
          </w:p>
        </w:tc>
        <w:tc>
          <w:tcPr>
            <w:tcW w:w="15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9369DFB">
            <w:pPr>
              <w:jc w:val="center"/>
              <w:rPr>
                <w:b w:val="0"/>
                <w:bCs w:val="0"/>
              </w:rPr>
            </w:pPr>
            <w:r>
              <w:rPr>
                <w:rFonts w:ascii="Arial" w:hAnsi="Arial" w:eastAsia="Arial" w:cs="Arial"/>
                <w:b w:val="0"/>
                <w:bCs w:val="0"/>
                <w:sz w:val="20"/>
                <w:szCs w:val="20"/>
              </w:rPr>
              <w:t>相对均衡</w:t>
            </w:r>
          </w:p>
        </w:tc>
      </w:tr>
      <w:tr w14:paraId="6E4DD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44AAE7C">
            <w:pPr>
              <w:jc w:val="center"/>
              <w:rPr>
                <w:b w:val="0"/>
                <w:bCs w:val="0"/>
              </w:rPr>
            </w:pPr>
            <w:r>
              <w:rPr>
                <w:rFonts w:ascii="Arial" w:hAnsi="Arial" w:eastAsia="Arial" w:cs="Arial"/>
                <w:b w:val="0"/>
                <w:bCs w:val="0"/>
                <w:sz w:val="20"/>
                <w:szCs w:val="20"/>
              </w:rPr>
              <w:t>definition</w:t>
            </w:r>
          </w:p>
        </w:tc>
        <w:tc>
          <w:tcPr>
            <w:tcW w:w="28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400A289">
            <w:pPr>
              <w:jc w:val="center"/>
              <w:rPr>
                <w:b w:val="0"/>
                <w:bCs w:val="0"/>
              </w:rPr>
            </w:pPr>
            <w:r>
              <w:rPr>
                <w:rFonts w:ascii="Arial" w:hAnsi="Arial" w:eastAsia="Arial" w:cs="Arial"/>
                <w:b w:val="0"/>
                <w:bCs w:val="0"/>
                <w:sz w:val="20"/>
                <w:szCs w:val="20"/>
              </w:rPr>
              <w:t>名称匹配 d\d+_</w:t>
            </w:r>
          </w:p>
        </w:tc>
        <w:tc>
          <w:tcPr>
            <w:tcW w:w="11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D61EC6C">
            <w:pPr>
              <w:jc w:val="center"/>
              <w:rPr>
                <w:b w:val="0"/>
                <w:bCs w:val="0"/>
              </w:rPr>
            </w:pPr>
            <w:r>
              <w:rPr>
                <w:rFonts w:ascii="Arial" w:hAnsi="Arial" w:eastAsia="Arial" w:cs="Arial"/>
                <w:b w:val="0"/>
                <w:bCs w:val="0"/>
                <w:sz w:val="20"/>
                <w:szCs w:val="20"/>
              </w:rPr>
              <w:t>9.4%</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F2793BF">
            <w:pPr>
              <w:jc w:val="center"/>
              <w:rPr>
                <w:b w:val="0"/>
                <w:bCs w:val="0"/>
              </w:rPr>
            </w:pPr>
            <w:r>
              <w:rPr>
                <w:rFonts w:ascii="Arial" w:hAnsi="Arial" w:eastAsia="Arial" w:cs="Arial"/>
                <w:b w:val="0"/>
                <w:bCs w:val="0"/>
                <w:sz w:val="20"/>
                <w:szCs w:val="20"/>
              </w:rPr>
              <w:t>89/913</w:t>
            </w:r>
          </w:p>
        </w:tc>
        <w:tc>
          <w:tcPr>
            <w:tcW w:w="15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04268E0">
            <w:pPr>
              <w:jc w:val="center"/>
              <w:rPr>
                <w:b w:val="0"/>
                <w:bCs w:val="0"/>
              </w:rPr>
            </w:pPr>
            <w:r>
              <w:rPr>
                <w:rFonts w:ascii="Arial" w:hAnsi="Arial" w:eastAsia="Arial" w:cs="Arial"/>
                <w:b w:val="0"/>
                <w:bCs w:val="0"/>
                <w:sz w:val="20"/>
                <w:szCs w:val="20"/>
              </w:rPr>
              <w:t>中度不平衡</w:t>
            </w:r>
          </w:p>
        </w:tc>
      </w:tr>
      <w:tr w14:paraId="14BC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94D2D82">
            <w:pPr>
              <w:jc w:val="center"/>
              <w:rPr>
                <w:b w:val="0"/>
                <w:bCs w:val="0"/>
              </w:rPr>
            </w:pPr>
            <w:r>
              <w:rPr>
                <w:rFonts w:ascii="Arial" w:hAnsi="Arial" w:eastAsia="Arial" w:cs="Arial"/>
                <w:b w:val="0"/>
                <w:bCs w:val="0"/>
                <w:sz w:val="20"/>
                <w:szCs w:val="20"/>
              </w:rPr>
              <w:t>empty</w:t>
            </w:r>
          </w:p>
        </w:tc>
        <w:tc>
          <w:tcPr>
            <w:tcW w:w="288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78F19B4">
            <w:pPr>
              <w:jc w:val="center"/>
              <w:rPr>
                <w:b w:val="0"/>
                <w:bCs w:val="0"/>
              </w:rPr>
            </w:pPr>
            <w:r>
              <w:rPr>
                <w:rFonts w:ascii="Arial" w:hAnsi="Arial" w:eastAsia="Arial" w:cs="Arial"/>
                <w:b w:val="0"/>
                <w:bCs w:val="0"/>
                <w:sz w:val="20"/>
                <w:szCs w:val="20"/>
              </w:rPr>
              <w:t>含 v1_xboole_0 或 k1_xboole_0</w:t>
            </w:r>
          </w:p>
        </w:tc>
        <w:tc>
          <w:tcPr>
            <w:tcW w:w="111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A6A2E41">
            <w:pPr>
              <w:jc w:val="center"/>
              <w:rPr>
                <w:b w:val="0"/>
                <w:bCs w:val="0"/>
              </w:rPr>
            </w:pPr>
            <w:r>
              <w:rPr>
                <w:rFonts w:ascii="Arial" w:hAnsi="Arial" w:eastAsia="Arial" w:cs="Arial"/>
                <w:b w:val="0"/>
                <w:bCs w:val="0"/>
                <w:sz w:val="20"/>
                <w:szCs w:val="20"/>
              </w:rPr>
              <w:t>13.5%</w:t>
            </w:r>
          </w:p>
        </w:tc>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E747F37">
            <w:pPr>
              <w:jc w:val="center"/>
              <w:rPr>
                <w:b w:val="0"/>
                <w:bCs w:val="0"/>
              </w:rPr>
            </w:pPr>
            <w:r>
              <w:rPr>
                <w:rFonts w:ascii="Arial" w:hAnsi="Arial" w:eastAsia="Arial" w:cs="Arial"/>
                <w:b w:val="0"/>
                <w:bCs w:val="0"/>
                <w:sz w:val="20"/>
                <w:szCs w:val="20"/>
              </w:rPr>
              <w:t>110/913</w:t>
            </w:r>
          </w:p>
        </w:tc>
        <w:tc>
          <w:tcPr>
            <w:tcW w:w="15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74DAF5D">
            <w:pPr>
              <w:jc w:val="center"/>
              <w:rPr>
                <w:b w:val="0"/>
                <w:bCs w:val="0"/>
              </w:rPr>
            </w:pPr>
            <w:r>
              <w:rPr>
                <w:rFonts w:ascii="Arial" w:hAnsi="Arial" w:eastAsia="Arial" w:cs="Arial"/>
                <w:b w:val="0"/>
                <w:bCs w:val="0"/>
                <w:sz w:val="20"/>
                <w:szCs w:val="20"/>
              </w:rPr>
              <w:t>符号特征明确</w:t>
            </w:r>
          </w:p>
        </w:tc>
      </w:tr>
      <w:tr w14:paraId="5DB6A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DE6DADE">
            <w:pPr>
              <w:jc w:val="center"/>
              <w:rPr>
                <w:b w:val="0"/>
                <w:bCs w:val="0"/>
              </w:rPr>
            </w:pPr>
            <w:r>
              <w:rPr>
                <w:rFonts w:ascii="Arial" w:hAnsi="Arial" w:eastAsia="Arial" w:cs="Arial"/>
                <w:b w:val="0"/>
                <w:bCs w:val="0"/>
                <w:sz w:val="20"/>
                <w:szCs w:val="20"/>
              </w:rPr>
              <w:t>setrel</w:t>
            </w:r>
          </w:p>
        </w:tc>
        <w:tc>
          <w:tcPr>
            <w:tcW w:w="28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926A36F">
            <w:pPr>
              <w:jc w:val="center"/>
              <w:rPr>
                <w:b w:val="0"/>
                <w:bCs w:val="0"/>
              </w:rPr>
            </w:pPr>
            <w:r>
              <w:rPr>
                <w:rFonts w:ascii="Arial" w:hAnsi="Arial" w:eastAsia="Arial" w:cs="Arial"/>
                <w:b w:val="0"/>
                <w:bCs w:val="0"/>
                <w:sz w:val="20"/>
                <w:szCs w:val="20"/>
              </w:rPr>
              <w:t>含 r2_hidden / r1_tarski 等</w:t>
            </w:r>
          </w:p>
        </w:tc>
        <w:tc>
          <w:tcPr>
            <w:tcW w:w="11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7E4FF7F">
            <w:pPr>
              <w:jc w:val="center"/>
              <w:rPr>
                <w:b w:val="0"/>
                <w:bCs w:val="0"/>
              </w:rPr>
            </w:pPr>
            <w:r>
              <w:rPr>
                <w:rFonts w:ascii="Arial" w:hAnsi="Arial" w:eastAsia="Arial" w:cs="Arial"/>
                <w:b w:val="0"/>
                <w:bCs w:val="0"/>
                <w:sz w:val="20"/>
                <w:szCs w:val="20"/>
              </w:rPr>
              <w:t>29.6%</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35EB979">
            <w:pPr>
              <w:jc w:val="center"/>
              <w:rPr>
                <w:b w:val="0"/>
                <w:bCs w:val="0"/>
              </w:rPr>
            </w:pPr>
            <w:r>
              <w:rPr>
                <w:rFonts w:ascii="Arial" w:hAnsi="Arial" w:eastAsia="Arial" w:cs="Arial"/>
                <w:b w:val="0"/>
                <w:bCs w:val="0"/>
                <w:sz w:val="20"/>
                <w:szCs w:val="20"/>
              </w:rPr>
              <w:t>282/913</w:t>
            </w:r>
          </w:p>
        </w:tc>
        <w:tc>
          <w:tcPr>
            <w:tcW w:w="15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B7C97E3">
            <w:pPr>
              <w:jc w:val="center"/>
              <w:rPr>
                <w:b w:val="0"/>
                <w:bCs w:val="0"/>
              </w:rPr>
            </w:pPr>
            <w:r>
              <w:rPr>
                <w:rFonts w:ascii="Arial" w:hAnsi="Arial" w:eastAsia="Arial" w:cs="Arial"/>
                <w:b w:val="0"/>
                <w:bCs w:val="0"/>
                <w:sz w:val="20"/>
                <w:szCs w:val="20"/>
              </w:rPr>
              <w:t>符号特征明确</w:t>
            </w:r>
          </w:p>
        </w:tc>
      </w:tr>
      <w:tr w14:paraId="4B735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E442311">
            <w:pPr>
              <w:jc w:val="center"/>
              <w:rPr>
                <w:b w:val="0"/>
                <w:bCs w:val="0"/>
              </w:rPr>
            </w:pPr>
            <w:r>
              <w:rPr>
                <w:rFonts w:ascii="Arial" w:hAnsi="Arial" w:eastAsia="Arial" w:cs="Arial"/>
                <w:b w:val="0"/>
                <w:bCs w:val="0"/>
                <w:sz w:val="20"/>
                <w:szCs w:val="20"/>
              </w:rPr>
              <w:t>commut</w:t>
            </w:r>
          </w:p>
        </w:tc>
        <w:tc>
          <w:tcPr>
            <w:tcW w:w="288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62C6238">
            <w:pPr>
              <w:jc w:val="center"/>
              <w:rPr>
                <w:b w:val="0"/>
                <w:bCs w:val="0"/>
              </w:rPr>
            </w:pPr>
            <w:r>
              <w:rPr>
                <w:rFonts w:ascii="Arial" w:hAnsi="Arial" w:eastAsia="Arial" w:cs="Arial"/>
                <w:b w:val="0"/>
                <w:bCs w:val="0"/>
                <w:sz w:val="20"/>
                <w:szCs w:val="20"/>
              </w:rPr>
              <w:t>名称含 commutativity</w:t>
            </w:r>
          </w:p>
        </w:tc>
        <w:tc>
          <w:tcPr>
            <w:tcW w:w="111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2E35E4B">
            <w:pPr>
              <w:jc w:val="center"/>
              <w:rPr>
                <w:b w:val="0"/>
                <w:bCs w:val="0"/>
              </w:rPr>
            </w:pPr>
            <w:r>
              <w:rPr>
                <w:rFonts w:ascii="Arial" w:hAnsi="Arial" w:eastAsia="Arial" w:cs="Arial"/>
                <w:b w:val="0"/>
                <w:bCs w:val="0"/>
                <w:sz w:val="20"/>
                <w:szCs w:val="20"/>
              </w:rPr>
              <w:t>0.5%</w:t>
            </w:r>
          </w:p>
        </w:tc>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C00DC16">
            <w:pPr>
              <w:jc w:val="center"/>
              <w:rPr>
                <w:b w:val="0"/>
                <w:bCs w:val="0"/>
              </w:rPr>
            </w:pPr>
            <w:r>
              <w:rPr>
                <w:rFonts w:ascii="Arial" w:hAnsi="Arial" w:eastAsia="Arial" w:cs="Arial"/>
                <w:b w:val="0"/>
                <w:bCs w:val="0"/>
                <w:sz w:val="20"/>
                <w:szCs w:val="20"/>
              </w:rPr>
              <w:t>7/913</w:t>
            </w:r>
          </w:p>
        </w:tc>
        <w:tc>
          <w:tcPr>
            <w:tcW w:w="15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36AEC24">
            <w:pPr>
              <w:jc w:val="center"/>
              <w:rPr>
                <w:b w:val="0"/>
                <w:bCs w:val="0"/>
              </w:rPr>
            </w:pPr>
            <w:r>
              <w:rPr>
                <w:rFonts w:ascii="Arial" w:hAnsi="Arial" w:eastAsia="Arial" w:cs="Arial"/>
                <w:b w:val="0"/>
                <w:bCs w:val="0"/>
                <w:sz w:val="20"/>
                <w:szCs w:val="20"/>
              </w:rPr>
              <w:t xml:space="preserve">极端不平衡 </w:t>
            </w:r>
          </w:p>
        </w:tc>
      </w:tr>
      <w:tr w14:paraId="6BC33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8E950DC">
            <w:pPr>
              <w:jc w:val="center"/>
              <w:rPr>
                <w:b w:val="0"/>
                <w:bCs w:val="0"/>
              </w:rPr>
            </w:pPr>
            <w:r>
              <w:rPr>
                <w:rFonts w:ascii="Arial" w:hAnsi="Arial" w:eastAsia="Arial" w:cs="Arial"/>
                <w:b w:val="0"/>
                <w:bCs w:val="0"/>
                <w:sz w:val="20"/>
                <w:szCs w:val="20"/>
              </w:rPr>
              <w:t>functor</w:t>
            </w:r>
          </w:p>
        </w:tc>
        <w:tc>
          <w:tcPr>
            <w:tcW w:w="288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49E547F">
            <w:pPr>
              <w:jc w:val="center"/>
              <w:rPr>
                <w:b w:val="0"/>
                <w:bCs w:val="0"/>
              </w:rPr>
            </w:pPr>
            <w:r>
              <w:rPr>
                <w:rFonts w:ascii="Arial" w:hAnsi="Arial" w:eastAsia="Arial" w:cs="Arial"/>
                <w:b w:val="0"/>
                <w:bCs w:val="0"/>
                <w:sz w:val="20"/>
                <w:szCs w:val="20"/>
              </w:rPr>
              <w:t>含 k\d+_ 函子符号</w:t>
            </w:r>
          </w:p>
        </w:tc>
        <w:tc>
          <w:tcPr>
            <w:tcW w:w="1115"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891B32A">
            <w:pPr>
              <w:jc w:val="center"/>
              <w:rPr>
                <w:b w:val="0"/>
                <w:bCs w:val="0"/>
              </w:rPr>
            </w:pPr>
            <w:r>
              <w:rPr>
                <w:rFonts w:ascii="Arial" w:hAnsi="Arial" w:eastAsia="Arial" w:cs="Arial"/>
                <w:b w:val="0"/>
                <w:bCs w:val="0"/>
                <w:sz w:val="20"/>
                <w:szCs w:val="20"/>
              </w:rPr>
              <w:t>81.0%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2648007">
            <w:pPr>
              <w:jc w:val="center"/>
              <w:rPr>
                <w:b w:val="0"/>
                <w:bCs w:val="0"/>
              </w:rPr>
            </w:pPr>
            <w:r>
              <w:rPr>
                <w:rFonts w:ascii="Arial" w:hAnsi="Arial" w:eastAsia="Arial" w:cs="Arial"/>
                <w:b w:val="0"/>
                <w:bCs w:val="0"/>
                <w:sz w:val="20"/>
                <w:szCs w:val="20"/>
              </w:rPr>
              <w:t>743/913</w:t>
            </w:r>
          </w:p>
        </w:tc>
        <w:tc>
          <w:tcPr>
            <w:tcW w:w="15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4BA8FCA">
            <w:pPr>
              <w:jc w:val="center"/>
              <w:rPr>
                <w:b w:val="0"/>
                <w:bCs w:val="0"/>
              </w:rPr>
            </w:pPr>
            <w:r>
              <w:rPr>
                <w:rFonts w:ascii="Arial" w:hAnsi="Arial" w:eastAsia="Arial" w:cs="Arial"/>
                <w:b w:val="0"/>
                <w:bCs w:val="0"/>
                <w:sz w:val="20"/>
                <w:szCs w:val="20"/>
              </w:rPr>
              <w:t>反向不平衡</w:t>
            </w:r>
          </w:p>
        </w:tc>
      </w:tr>
      <w:tr w14:paraId="53ED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8E65104">
            <w:pPr>
              <w:jc w:val="center"/>
              <w:rPr>
                <w:b w:val="0"/>
                <w:bCs w:val="0"/>
              </w:rPr>
            </w:pPr>
            <w:r>
              <w:rPr>
                <w:rFonts w:ascii="Arial" w:hAnsi="Arial" w:eastAsia="Arial" w:cs="Arial"/>
                <w:b w:val="0"/>
                <w:bCs w:val="0"/>
                <w:sz w:val="20"/>
                <w:szCs w:val="20"/>
              </w:rPr>
              <w:t>manysym</w:t>
            </w:r>
          </w:p>
        </w:tc>
        <w:tc>
          <w:tcPr>
            <w:tcW w:w="288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44C6E61">
            <w:pPr>
              <w:jc w:val="center"/>
              <w:rPr>
                <w:b w:val="0"/>
                <w:bCs w:val="0"/>
              </w:rPr>
            </w:pPr>
            <w:r>
              <w:rPr>
                <w:rFonts w:ascii="Arial" w:hAnsi="Arial" w:eastAsia="Arial" w:cs="Arial"/>
                <w:b w:val="0"/>
                <w:bCs w:val="0"/>
                <w:sz w:val="20"/>
                <w:szCs w:val="20"/>
              </w:rPr>
              <w:t>符号总数 &gt; 所有公理的中位数</w:t>
            </w:r>
          </w:p>
        </w:tc>
        <w:tc>
          <w:tcPr>
            <w:tcW w:w="1115"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24CCB9B">
            <w:pPr>
              <w:jc w:val="center"/>
              <w:rPr>
                <w:b w:val="0"/>
                <w:bCs w:val="0"/>
              </w:rPr>
            </w:pPr>
            <w:r>
              <w:rPr>
                <w:rFonts w:ascii="Arial" w:hAnsi="Arial" w:eastAsia="Arial" w:cs="Arial"/>
                <w:b w:val="0"/>
                <w:bCs w:val="0"/>
                <w:sz w:val="20"/>
                <w:szCs w:val="20"/>
              </w:rPr>
              <w:t>42.9%</w:t>
            </w:r>
          </w:p>
        </w:tc>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D5BF07">
            <w:pPr>
              <w:jc w:val="center"/>
              <w:rPr>
                <w:b w:val="0"/>
                <w:bCs w:val="0"/>
              </w:rPr>
            </w:pPr>
            <w:r>
              <w:rPr>
                <w:rFonts w:ascii="Arial" w:hAnsi="Arial" w:eastAsia="Arial" w:cs="Arial"/>
                <w:b w:val="0"/>
                <w:bCs w:val="0"/>
                <w:sz w:val="20"/>
                <w:szCs w:val="20"/>
              </w:rPr>
              <w:t>395/913</w:t>
            </w:r>
          </w:p>
        </w:tc>
        <w:tc>
          <w:tcPr>
            <w:tcW w:w="15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30AB48B">
            <w:pPr>
              <w:jc w:val="center"/>
              <w:rPr>
                <w:b w:val="0"/>
                <w:bCs w:val="0"/>
              </w:rPr>
            </w:pPr>
            <w:r>
              <w:rPr>
                <w:rFonts w:ascii="Arial" w:hAnsi="Arial" w:eastAsia="Arial" w:cs="Arial"/>
                <w:b w:val="0"/>
                <w:bCs w:val="0"/>
                <w:sz w:val="20"/>
                <w:szCs w:val="20"/>
              </w:rPr>
              <w:t>相对均衡</w:t>
            </w:r>
          </w:p>
        </w:tc>
      </w:tr>
    </w:tbl>
    <w:p w14:paraId="78B30699">
      <w:pPr>
        <w:spacing w:before="60" w:after="100"/>
        <w:ind w:firstLine="480" w:firstLineChars="200"/>
        <w:jc w:val="both"/>
        <w:rPr>
          <w:b w:val="0"/>
          <w:bCs w:val="0"/>
          <w:sz w:val="24"/>
          <w:szCs w:val="24"/>
        </w:rPr>
      </w:pPr>
      <w:r>
        <w:rPr>
          <w:rFonts w:ascii="Arial" w:hAnsi="Arial" w:eastAsia="Arial" w:cs="Arial"/>
          <w:b w:val="0"/>
          <w:bCs w:val="0"/>
          <w:sz w:val="24"/>
          <w:szCs w:val="24"/>
        </w:rPr>
        <w:t>commut 谓词（正例率 0.5%，测试集仅 7 个正例）是极端不平衡的代表性案例。functor 谓词正例率高达 81%，构成反向不平衡。这两类情况对任何分类方法都是重大挑战，也是本实验改进方案重点解决的问题之一。</w:t>
      </w:r>
    </w:p>
    <w:p w14:paraId="417D2393">
      <w:pPr>
        <w:spacing w:before="40" w:after="40"/>
        <w:rPr>
          <w:b w:val="0"/>
          <w:bCs w:val="0"/>
        </w:rPr>
      </w:pPr>
    </w:p>
    <w:p w14:paraId="31FAFC6D">
      <w:pPr>
        <w:pStyle w:val="4"/>
        <w:bidi w:val="0"/>
      </w:pPr>
      <w:r>
        <w:t>3.4 TF-IDF 特征构建</w:t>
      </w:r>
    </w:p>
    <w:p w14:paraId="559BE59C">
      <w:pPr>
        <w:spacing w:before="60" w:after="100"/>
        <w:ind w:firstLine="480" w:firstLineChars="200"/>
        <w:jc w:val="both"/>
        <w:rPr>
          <w:b w:val="0"/>
          <w:bCs w:val="0"/>
          <w:sz w:val="24"/>
          <w:szCs w:val="24"/>
        </w:rPr>
      </w:pPr>
      <w:r>
        <w:rPr>
          <w:rFonts w:ascii="Arial" w:hAnsi="Arial" w:eastAsia="Arial" w:cs="Arial"/>
          <w:b w:val="0"/>
          <w:bCs w:val="0"/>
          <w:sz w:val="24"/>
          <w:szCs w:val="24"/>
        </w:rPr>
        <w:t>将每条公理视为一个文档，公式中出现的非 Skolem 符号名视为词汇，构建 TF-IDF 特征矩阵。</w:t>
      </w:r>
    </w:p>
    <w:p w14:paraId="76809753">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3.4.1 词表与词频矩阵</w:t>
      </w:r>
    </w:p>
    <w:p w14:paraId="6623CC03">
      <w:pPr>
        <w:spacing w:before="60" w:after="100"/>
        <w:ind w:firstLine="480" w:firstLineChars="200"/>
        <w:jc w:val="both"/>
        <w:rPr>
          <w:b w:val="0"/>
          <w:bCs w:val="0"/>
          <w:sz w:val="24"/>
          <w:szCs w:val="24"/>
        </w:rPr>
      </w:pPr>
      <w:r>
        <w:rPr>
          <w:rFonts w:ascii="Arial" w:hAnsi="Arial" w:eastAsia="Arial" w:cs="Arial"/>
          <w:b w:val="0"/>
          <w:bCs w:val="0"/>
          <w:sz w:val="24"/>
          <w:szCs w:val="24"/>
        </w:rPr>
        <w:t>统计所有公理中各符号的文档频率（DF），选取频率最高的 300 个非 Skolem 符号构成词表 V（|V| = 300）。对每条公理构建词频向量 TF ∈ R</w:t>
      </w:r>
      <w:r>
        <w:rPr>
          <w:rFonts w:ascii="Arial" w:hAnsi="Arial" w:eastAsia="Arial" w:cs="Arial"/>
          <w:b w:val="0"/>
          <w:bCs w:val="0"/>
          <w:sz w:val="24"/>
          <w:szCs w:val="24"/>
          <w:vertAlign w:val="superscript"/>
        </w:rPr>
        <w:t>300</w:t>
      </w:r>
      <w:r>
        <w:rPr>
          <w:rFonts w:ascii="Arial" w:hAnsi="Arial" w:eastAsia="Arial" w:cs="Arial"/>
          <w:b w:val="0"/>
          <w:bCs w:val="0"/>
          <w:sz w:val="24"/>
          <w:szCs w:val="24"/>
        </w:rPr>
        <w:t>，X[i,j] 为公理 i 中符号 j 的出现次数。</w:t>
      </w:r>
    </w:p>
    <w:p w14:paraId="69EFE317">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3.4.2 IDF 加权</w:t>
      </w:r>
    </w:p>
    <w:p w14:paraId="3C17F4A9">
      <w:pPr>
        <w:spacing w:before="60" w:after="100"/>
        <w:ind w:firstLine="480" w:firstLineChars="200"/>
        <w:jc w:val="both"/>
        <w:rPr>
          <w:b w:val="0"/>
          <w:bCs w:val="0"/>
          <w:sz w:val="24"/>
          <w:szCs w:val="24"/>
        </w:rPr>
      </w:pPr>
      <w:r>
        <w:rPr>
          <w:rFonts w:ascii="Arial" w:hAnsi="Arial" w:eastAsia="Arial" w:cs="Arial"/>
          <w:b w:val="0"/>
          <w:bCs w:val="0"/>
          <w:sz w:val="24"/>
          <w:szCs w:val="24"/>
        </w:rPr>
        <w:t>逆文档频率采用带平滑的公式：</w:t>
      </w:r>
    </w:p>
    <w:p w14:paraId="04FF09F2">
      <w:pPr>
        <w:spacing w:before="40" w:after="40"/>
        <w:rPr>
          <w:b w:val="0"/>
          <w:bCs w:val="0"/>
          <w:sz w:val="24"/>
          <w:szCs w:val="24"/>
        </w:rPr>
      </w:pPr>
    </w:p>
    <w:p w14:paraId="32D5B3C5">
      <w:pPr>
        <w:spacing w:before="100" w:after="100"/>
        <w:jc w:val="center"/>
        <w:rPr>
          <w:b w:val="0"/>
          <w:bCs w:val="0"/>
          <w:sz w:val="24"/>
          <w:szCs w:val="24"/>
        </w:rPr>
      </w:pPr>
      <m:oMathPara>
        <m:oMath>
          <m:r>
            <m:rPr/>
            <w:rPr>
              <w:rFonts w:ascii="Cambria Math" w:hAnsi="Cambria Math"/>
              <w:sz w:val="24"/>
              <w:szCs w:val="24"/>
            </w:rPr>
            <m:t>IDF(t)  =  log</m:t>
          </m:r>
          <m:d>
            <m:dPr>
              <m:ctrlPr>
                <w:rPr>
                  <w:rFonts w:ascii="Cambria Math" w:hAnsi="Cambria Math"/>
                  <w:b w:val="0"/>
                  <w:bCs w:val="0"/>
                  <w:sz w:val="24"/>
                  <w:szCs w:val="24"/>
                </w:rPr>
              </m:ctrlPr>
            </m:dPr>
            <m:e>
              <m:f>
                <m:fPr>
                  <m:ctrlPr>
                    <w:rPr>
                      <w:rFonts w:ascii="Cambria Math" w:hAnsi="Cambria Math"/>
                      <w:b w:val="0"/>
                      <w:bCs w:val="0"/>
                      <w:sz w:val="24"/>
                      <w:szCs w:val="24"/>
                    </w:rPr>
                  </m:ctrlPr>
                </m:fPr>
                <m:num>
                  <m:r>
                    <m:rPr/>
                    <w:rPr>
                      <w:rFonts w:ascii="Cambria Math" w:hAnsi="Cambria Math"/>
                      <w:sz w:val="24"/>
                      <w:szCs w:val="24"/>
                    </w:rPr>
                    <m:t>N + 1</m:t>
                  </m:r>
                  <m:ctrlPr>
                    <w:rPr>
                      <w:rFonts w:ascii="Cambria Math" w:hAnsi="Cambria Math"/>
                      <w:b w:val="0"/>
                      <w:bCs w:val="0"/>
                      <w:sz w:val="24"/>
                      <w:szCs w:val="24"/>
                    </w:rPr>
                  </m:ctrlPr>
                </m:num>
                <m:den>
                  <m:r>
                    <m:rPr/>
                    <w:rPr>
                      <w:rFonts w:ascii="Cambria Math" w:hAnsi="Cambria Math"/>
                      <w:sz w:val="24"/>
                      <w:szCs w:val="24"/>
                    </w:rPr>
                    <m:t>DF(t) + 1</m:t>
                  </m:r>
                  <m:ctrlPr>
                    <w:rPr>
                      <w:rFonts w:ascii="Cambria Math" w:hAnsi="Cambria Math"/>
                      <w:b w:val="0"/>
                      <w:bCs w:val="0"/>
                      <w:sz w:val="24"/>
                      <w:szCs w:val="24"/>
                    </w:rPr>
                  </m:ctrlPr>
                </m:den>
              </m:f>
              <m:ctrlPr>
                <w:rPr>
                  <w:rFonts w:ascii="Cambria Math" w:hAnsi="Cambria Math"/>
                  <w:b w:val="0"/>
                  <w:bCs w:val="0"/>
                  <w:sz w:val="24"/>
                  <w:szCs w:val="24"/>
                </w:rPr>
              </m:ctrlPr>
            </m:e>
          </m:d>
          <m:r>
            <m:rPr/>
            <w:rPr>
              <w:rFonts w:ascii="Cambria Math" w:hAnsi="Cambria Math"/>
              <w:sz w:val="24"/>
              <w:szCs w:val="24"/>
            </w:rPr>
            <m:t>+  1</m:t>
          </m:r>
        </m:oMath>
      </m:oMathPara>
    </w:p>
    <w:p w14:paraId="12A52E06">
      <w:pPr>
        <w:spacing w:before="40" w:after="40"/>
        <w:rPr>
          <w:b w:val="0"/>
          <w:bCs w:val="0"/>
          <w:sz w:val="24"/>
          <w:szCs w:val="24"/>
        </w:rPr>
      </w:pPr>
    </w:p>
    <w:p w14:paraId="08CCEE1F">
      <w:pPr>
        <w:spacing w:before="60" w:after="100"/>
        <w:ind w:firstLine="480" w:firstLineChars="200"/>
        <w:jc w:val="both"/>
        <w:rPr>
          <w:b w:val="0"/>
          <w:bCs w:val="0"/>
          <w:sz w:val="24"/>
          <w:szCs w:val="24"/>
        </w:rPr>
      </w:pPr>
      <w:r>
        <w:rPr>
          <w:rFonts w:ascii="Arial" w:hAnsi="Arial" w:eastAsia="Arial" w:cs="Arial"/>
          <w:b w:val="0"/>
          <w:bCs w:val="0"/>
          <w:sz w:val="24"/>
          <w:szCs w:val="24"/>
        </w:rPr>
        <w:t>其中 N 为公理总数（4,564），DF(t) 为包含符号 t 的公理数。分子分母各加 1 为拉普拉斯平滑，+1 保证 IDF ≥ 1（高频词保留正权重）。TF-IDF 矩阵为 X = TF × IDF（逐元素相乘）。</w:t>
      </w:r>
    </w:p>
    <w:p w14:paraId="67CE48D7">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3.4.3 L2 归一化</w:t>
      </w:r>
    </w:p>
    <w:p w14:paraId="5E315FA2">
      <w:pPr>
        <w:spacing w:before="60" w:after="100"/>
        <w:ind w:firstLine="480" w:firstLineChars="200"/>
        <w:jc w:val="both"/>
        <w:rPr>
          <w:b w:val="0"/>
          <w:bCs w:val="0"/>
          <w:sz w:val="24"/>
          <w:szCs w:val="24"/>
        </w:rPr>
      </w:pPr>
      <w:r>
        <w:rPr>
          <w:rFonts w:ascii="Arial" w:hAnsi="Arial" w:eastAsia="Arial" w:cs="Arial"/>
          <w:b w:val="0"/>
          <w:bCs w:val="0"/>
          <w:sz w:val="24"/>
          <w:szCs w:val="24"/>
        </w:rPr>
        <w:t>对每条公理的 TF-IDF 向量进行 L2 归一化，消除公理长度（符号总数）对特征向量的影响：</w:t>
      </w:r>
    </w:p>
    <w:p w14:paraId="5E693B59">
      <w:pPr>
        <w:spacing w:before="100" w:after="100"/>
        <w:jc w:val="center"/>
        <w:rPr>
          <w:b w:val="0"/>
          <w:bCs w:val="0"/>
          <w:sz w:val="24"/>
          <w:szCs w:val="24"/>
        </w:rPr>
      </w:pPr>
      <m:oMathPara>
        <m:oMath>
          <m:r>
            <m:rPr/>
            <w:rPr>
              <w:rFonts w:ascii="Cambria Math" w:hAnsi="Cambria Math"/>
              <w:sz w:val="24"/>
              <w:szCs w:val="24"/>
            </w:rPr>
            <m:t>x̂ᵢ  =</m:t>
          </m:r>
          <m:f>
            <m:fPr>
              <m:ctrlPr>
                <w:rPr>
                  <w:rFonts w:ascii="Cambria Math" w:hAnsi="Cambria Math"/>
                  <w:b w:val="0"/>
                  <w:bCs w:val="0"/>
                  <w:sz w:val="24"/>
                  <w:szCs w:val="24"/>
                </w:rPr>
              </m:ctrlPr>
            </m:fPr>
            <m:num>
              <m:r>
                <m:rPr/>
                <w:rPr>
                  <w:rFonts w:ascii="Cambria Math" w:hAnsi="Cambria Math"/>
                  <w:sz w:val="24"/>
                  <w:szCs w:val="24"/>
                </w:rPr>
                <m:t>xᵢ</m:t>
              </m:r>
              <m:ctrlPr>
                <w:rPr>
                  <w:rFonts w:ascii="Cambria Math" w:hAnsi="Cambria Math"/>
                  <w:b w:val="0"/>
                  <w:bCs w:val="0"/>
                  <w:sz w:val="24"/>
                  <w:szCs w:val="24"/>
                </w:rPr>
              </m:ctrlPr>
            </m:num>
            <m:den>
              <m:r>
                <m:rPr/>
                <w:rPr>
                  <w:rFonts w:ascii="Cambria Math" w:hAnsi="Cambria Math"/>
                  <w:sz w:val="24"/>
                  <w:szCs w:val="24"/>
                </w:rPr>
                <m:t>max( ‖xᵢ‖₂,  ε )</m:t>
              </m:r>
              <m:ctrlPr>
                <w:rPr>
                  <w:rFonts w:ascii="Cambria Math" w:hAnsi="Cambria Math"/>
                  <w:b w:val="0"/>
                  <w:bCs w:val="0"/>
                  <w:sz w:val="24"/>
                  <w:szCs w:val="24"/>
                </w:rPr>
              </m:ctrlPr>
            </m:den>
          </m:f>
        </m:oMath>
      </m:oMathPara>
    </w:p>
    <w:p w14:paraId="7E56B5DA">
      <w:pPr>
        <w:spacing w:before="40" w:after="40"/>
        <w:rPr>
          <w:b w:val="0"/>
          <w:bCs w:val="0"/>
          <w:sz w:val="24"/>
          <w:szCs w:val="24"/>
        </w:rPr>
      </w:pPr>
    </w:p>
    <w:p w14:paraId="04FA1F4C">
      <w:pPr>
        <w:spacing w:before="60" w:after="100"/>
        <w:ind w:firstLine="480" w:firstLineChars="200"/>
        <w:jc w:val="both"/>
        <w:rPr>
          <w:b w:val="0"/>
          <w:bCs w:val="0"/>
          <w:sz w:val="24"/>
          <w:szCs w:val="24"/>
        </w:rPr>
      </w:pPr>
      <w:r>
        <w:rPr>
          <w:rFonts w:ascii="Arial" w:hAnsi="Arial" w:eastAsia="Arial" w:cs="Arial"/>
          <w:b w:val="0"/>
          <w:bCs w:val="0"/>
          <w:sz w:val="24"/>
          <w:szCs w:val="24"/>
        </w:rPr>
        <w:t>归一化后所有特征向量落在单位球面上，使得不同长度的公理具有可比性。与纯词袋（BOW）特征相比，TF-IDF 有效压制了在所有公理中普遍出现的高频通用符号的干扰，提升了稀有且具区分度的符号的权重。</w:t>
      </w:r>
    </w:p>
    <w:p w14:paraId="6D80BBDE">
      <w:pPr>
        <w:spacing w:before="40" w:after="40"/>
        <w:rPr>
          <w:b w:val="0"/>
          <w:bCs w:val="0"/>
        </w:rPr>
      </w:pPr>
    </w:p>
    <w:p w14:paraId="7D44C830">
      <w:pPr>
        <w:pStyle w:val="3"/>
        <w:bidi w:val="0"/>
      </w:pPr>
      <w:r>
        <w:t>第 4 章  改进方法</w:t>
      </w:r>
    </w:p>
    <w:p w14:paraId="6DED21C5">
      <w:pPr>
        <w:spacing w:before="60" w:after="100"/>
        <w:ind w:firstLine="480" w:firstLineChars="200"/>
        <w:jc w:val="both"/>
        <w:rPr>
          <w:b w:val="0"/>
          <w:bCs w:val="0"/>
          <w:sz w:val="24"/>
          <w:szCs w:val="24"/>
        </w:rPr>
      </w:pPr>
      <w:r>
        <w:rPr>
          <w:rFonts w:ascii="Arial" w:hAnsi="Arial" w:eastAsia="Arial" w:cs="Arial"/>
          <w:b w:val="0"/>
          <w:bCs w:val="0"/>
          <w:sz w:val="24"/>
          <w:szCs w:val="24"/>
        </w:rPr>
        <w:t>本章是本实验的核心创新章节。原论文（Carraro et al., 2024）以猫狗二分类为演示，仅有 1 个谓词、2 条规则、均衡的样本分布，不涉及多标签联合预测与类别不平衡等工程挑战。本实验针对真实 CNF 数据集的特点提出了四项关键改进，以下逐一详述。</w:t>
      </w:r>
    </w:p>
    <w:p w14:paraId="5DD5DD64">
      <w:pPr>
        <w:spacing w:before="40" w:after="40"/>
        <w:rPr>
          <w:b w:val="0"/>
          <w:bCs w:val="0"/>
        </w:rPr>
      </w:pPr>
    </w:p>
    <w:p w14:paraId="1C8A7BD5">
      <w:pPr>
        <w:pStyle w:val="4"/>
        <w:bidi w:val="0"/>
      </w:pPr>
      <w:r>
        <w:t>4.1 改进一：混合损失函数（解决预测坍塌）</w:t>
      </w:r>
    </w:p>
    <w:p w14:paraId="0B7FB916">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4.1.1 原论文方法与其局限</w:t>
      </w:r>
    </w:p>
    <w:p w14:paraId="1843A8AB">
      <w:pPr>
        <w:spacing w:before="60" w:after="100"/>
        <w:ind w:firstLine="480" w:firstLineChars="200"/>
        <w:jc w:val="both"/>
        <w:rPr>
          <w:b w:val="0"/>
          <w:bCs w:val="0"/>
          <w:sz w:val="24"/>
          <w:szCs w:val="24"/>
        </w:rPr>
      </w:pPr>
      <w:r>
        <w:rPr>
          <w:rFonts w:ascii="Arial" w:hAnsi="Arial" w:eastAsia="Arial" w:cs="Arial"/>
          <w:b w:val="0"/>
          <w:bCs w:val="0"/>
          <w:sz w:val="24"/>
          <w:szCs w:val="24"/>
        </w:rPr>
        <w:t>原论文训练损失为纯 LTN 规则损失</w:t>
      </w:r>
      <w:r>
        <w:rPr>
          <w:rFonts w:hint="eastAsia" w:eastAsia="宋体" w:cs="Arial"/>
          <w:b w:val="0"/>
          <w:bCs w:val="0"/>
          <w:sz w:val="24"/>
          <w:szCs w:val="24"/>
          <w:lang w:eastAsia="zh-CN"/>
        </w:rPr>
        <w:t>，</w:t>
      </w:r>
      <w:r>
        <w:rPr>
          <w:rFonts w:ascii="Arial" w:hAnsi="Arial" w:eastAsia="Arial" w:cs="Arial"/>
          <w:b w:val="0"/>
          <w:bCs w:val="0"/>
          <w:sz w:val="24"/>
          <w:szCs w:val="24"/>
        </w:rPr>
        <w:t>没有外部监督信号约束。</w:t>
      </w:r>
    </w:p>
    <w:p w14:paraId="3CA7879B">
      <w:pPr>
        <w:spacing w:before="60" w:after="100"/>
        <w:ind w:firstLine="480" w:firstLineChars="200"/>
        <w:jc w:val="both"/>
        <w:rPr>
          <w:rFonts w:ascii="Arial" w:hAnsi="Arial" w:eastAsia="Arial" w:cs="Arial"/>
          <w:b w:val="0"/>
          <w:bCs w:val="0"/>
          <w:sz w:val="24"/>
          <w:szCs w:val="24"/>
        </w:rPr>
      </w:pPr>
      <w:r>
        <w:rPr>
          <w:rFonts w:ascii="Arial" w:hAnsi="Arial" w:eastAsia="Arial" w:cs="Arial"/>
          <w:b w:val="0"/>
          <w:bCs w:val="0"/>
          <w:sz w:val="24"/>
          <w:szCs w:val="24"/>
        </w:rPr>
        <w:t>在多标签任务中，此方法导致严重的预测坍塌（Prediction Collapse）现象：由于 Product 语义下蕴含算子的数学结构为：</w:t>
      </w:r>
    </w:p>
    <w:p w14:paraId="711B232C">
      <w:pPr>
        <w:spacing w:before="60" w:after="100"/>
        <w:ind w:firstLine="480" w:firstLineChars="200"/>
        <w:jc w:val="both"/>
        <w:rPr>
          <w:rFonts w:ascii="Arial" w:hAnsi="Arial" w:eastAsia="Arial" w:cs="Arial"/>
          <w:b w:val="0"/>
          <w:bCs w:val="0"/>
          <w:sz w:val="24"/>
          <w:szCs w:val="24"/>
        </w:rPr>
      </w:pPr>
    </w:p>
    <w:p w14:paraId="1E313B51">
      <w:pPr>
        <w:spacing w:before="100" w:after="100"/>
        <w:jc w:val="center"/>
        <w:rPr>
          <w:b w:val="0"/>
          <w:bCs w:val="0"/>
          <w:sz w:val="24"/>
          <w:szCs w:val="24"/>
        </w:rPr>
      </w:pPr>
      <m:oMathPara>
        <m:oMath>
          <m:r>
            <m:rPr/>
            <w:rPr>
              <w:rFonts w:ascii="Cambria Math" w:hAnsi="Cambria Math"/>
              <w:sz w:val="24"/>
              <w:szCs w:val="24"/>
            </w:rPr>
            <m:t>G(⇒)  :  u, v  ↦  1 − u + u · v</m:t>
          </m:r>
        </m:oMath>
      </m:oMathPara>
    </w:p>
    <w:p w14:paraId="2B42FCB3">
      <w:pPr>
        <w:spacing w:before="40" w:after="40"/>
        <w:rPr>
          <w:b w:val="0"/>
          <w:bCs w:val="0"/>
          <w:sz w:val="24"/>
          <w:szCs w:val="24"/>
        </w:rPr>
      </w:pPr>
    </w:p>
    <w:p w14:paraId="342930B9">
      <w:pPr>
        <w:spacing w:before="60" w:after="100"/>
        <w:ind w:firstLine="480" w:firstLineChars="200"/>
        <w:jc w:val="both"/>
        <w:rPr>
          <w:b w:val="0"/>
          <w:bCs w:val="0"/>
          <w:sz w:val="24"/>
          <w:szCs w:val="24"/>
        </w:rPr>
      </w:pPr>
      <w:r>
        <w:rPr>
          <w:rFonts w:ascii="Arial" w:hAnsi="Arial" w:eastAsia="Arial" w:cs="Arial"/>
          <w:b w:val="0"/>
          <w:bCs w:val="0"/>
          <w:sz w:val="24"/>
          <w:szCs w:val="24"/>
        </w:rPr>
        <w:t>当前件 u → 0 时，蕴含值自动趋近 1，规则表面上被满足。因此模型只需让所有前件谓词（如 Empty、SetRel、Commut、ManySym、Definition）的输出接近 0，就能使所有规则的满足度虚高，但实际上没有学到任何判别性特征。这是纯 LTN 方法在多谓词多规则场景下的固有缺陷。</w:t>
      </w:r>
    </w:p>
    <w:p w14:paraId="549118FB">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4.1.2 改进方案：混合损失</w:t>
      </w:r>
    </w:p>
    <w:p w14:paraId="4914AB4D">
      <w:pPr>
        <w:spacing w:before="60" w:after="100"/>
        <w:ind w:firstLine="480" w:firstLineChars="200"/>
        <w:jc w:val="both"/>
        <w:rPr>
          <w:b w:val="0"/>
          <w:bCs w:val="0"/>
          <w:sz w:val="24"/>
          <w:szCs w:val="24"/>
        </w:rPr>
      </w:pPr>
      <w:r>
        <w:rPr>
          <w:rFonts w:ascii="Arial" w:hAnsi="Arial" w:eastAsia="Arial" w:cs="Arial"/>
          <w:b w:val="0"/>
          <w:bCs w:val="0"/>
          <w:sz w:val="24"/>
          <w:szCs w:val="24"/>
        </w:rPr>
        <w:t>本实验设计混合损失函数，将逻辑规则约束与加权 BCE 监督信号相结合：</w:t>
      </w:r>
    </w:p>
    <w:p w14:paraId="07A6865F">
      <w:pPr>
        <w:spacing w:before="40" w:after="40"/>
        <w:rPr>
          <w:b w:val="0"/>
          <w:bCs w:val="0"/>
          <w:sz w:val="24"/>
          <w:szCs w:val="24"/>
        </w:rPr>
      </w:pPr>
    </w:p>
    <w:p w14:paraId="4D85E990">
      <w:pPr>
        <w:spacing w:before="100" w:after="100"/>
        <w:jc w:val="center"/>
        <w:rPr>
          <w:b w:val="0"/>
          <w:bCs w:val="0"/>
          <w:sz w:val="24"/>
          <w:szCs w:val="24"/>
        </w:rPr>
      </w:pPr>
      <m:oMathPara>
        <m:oMath>
          <m:r>
            <m:rPr/>
            <w:rPr>
              <w:rFonts w:ascii="Cambria Math" w:hAnsi="Cambria Math"/>
              <w:sz w:val="24"/>
              <w:szCs w:val="24"/>
            </w:rPr>
            <m:t xml:space="preserve">L(θ)  =  α · </m:t>
          </m:r>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LTN</m:t>
              </m:r>
              <m:ctrlPr>
                <w:rPr>
                  <w:rFonts w:ascii="Cambria Math" w:hAnsi="Cambria Math"/>
                  <w:b w:val="0"/>
                  <w:bCs w:val="0"/>
                  <w:sz w:val="24"/>
                  <w:szCs w:val="24"/>
                </w:rPr>
              </m:ctrlPr>
            </m:sub>
          </m:sSub>
          <m:r>
            <m:rPr/>
            <w:rPr>
              <w:rFonts w:ascii="Cambria Math" w:hAnsi="Cambria Math"/>
              <w:sz w:val="24"/>
              <w:szCs w:val="24"/>
            </w:rPr>
            <m:t xml:space="preserve">+  (1 − α) · </m:t>
          </m:r>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BCE</m:t>
              </m:r>
              <m:ctrlPr>
                <w:rPr>
                  <w:rFonts w:ascii="Cambria Math" w:hAnsi="Cambria Math"/>
                  <w:b w:val="0"/>
                  <w:bCs w:val="0"/>
                  <w:sz w:val="24"/>
                  <w:szCs w:val="24"/>
                </w:rPr>
              </m:ctrlPr>
            </m:sub>
          </m:sSub>
          <m:r>
            <m:rPr/>
            <w:rPr>
              <w:rFonts w:ascii="Cambria Math" w:hAnsi="Cambria Math"/>
              <w:sz w:val="24"/>
              <w:szCs w:val="24"/>
            </w:rPr>
            <m:t>,   α = 0.3</m:t>
          </m:r>
        </m:oMath>
      </m:oMathPara>
    </w:p>
    <w:p w14:paraId="2F999129">
      <w:pPr>
        <w:spacing w:before="40" w:after="40"/>
        <w:rPr>
          <w:b w:val="0"/>
          <w:bCs w:val="0"/>
          <w:sz w:val="24"/>
          <w:szCs w:val="24"/>
        </w:rPr>
      </w:pPr>
    </w:p>
    <w:p w14:paraId="0F0FA18D">
      <w:pPr>
        <w:spacing w:before="60" w:after="100"/>
        <w:ind w:firstLine="480" w:firstLineChars="200"/>
        <w:jc w:val="both"/>
        <w:rPr>
          <w:b w:val="0"/>
          <w:bCs w:val="0"/>
          <w:sz w:val="24"/>
          <w:szCs w:val="24"/>
        </w:rPr>
      </w:pPr>
      <w:r>
        <w:rPr>
          <w:rFonts w:ascii="Arial" w:hAnsi="Arial" w:eastAsia="Arial" w:cs="Arial"/>
          <w:b w:val="0"/>
          <w:bCs w:val="0"/>
          <w:sz w:val="24"/>
          <w:szCs w:val="24"/>
        </w:rPr>
        <w:t>其中两个损失项分别为：</w:t>
      </w:r>
    </w:p>
    <w:p w14:paraId="535BD222">
      <w:pPr>
        <w:spacing w:before="40" w:after="40"/>
        <w:rPr>
          <w:b w:val="0"/>
          <w:bCs w:val="0"/>
          <w:sz w:val="24"/>
          <w:szCs w:val="24"/>
        </w:rPr>
      </w:pPr>
    </w:p>
    <w:p w14:paraId="15C65182">
      <w:pPr>
        <w:spacing w:before="100" w:after="100"/>
        <w:jc w:val="center"/>
        <w:rPr>
          <w:b w:val="0"/>
          <w:bCs w:val="0"/>
          <w:sz w:val="24"/>
          <w:szCs w:val="24"/>
        </w:rPr>
      </w:pPr>
      <m:oMathPara>
        <m:oMath>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LTN</m:t>
              </m:r>
              <m:ctrlPr>
                <w:rPr>
                  <w:rFonts w:ascii="Cambria Math" w:hAnsi="Cambria Math"/>
                  <w:b w:val="0"/>
                  <w:bCs w:val="0"/>
                  <w:sz w:val="24"/>
                  <w:szCs w:val="24"/>
                </w:rPr>
              </m:ctrlPr>
            </m:sub>
          </m:sSub>
          <m:r>
            <m:rPr/>
            <w:rPr>
              <w:rFonts w:ascii="Cambria Math" w:hAnsi="Cambria Math"/>
              <w:sz w:val="24"/>
              <w:szCs w:val="24"/>
            </w:rPr>
            <m:t>=  1 − SatAgg(R₁, R₂, R₃, R₄, R₅)</m:t>
          </m:r>
        </m:oMath>
      </m:oMathPara>
    </w:p>
    <w:p w14:paraId="172063EA">
      <w:pPr>
        <w:spacing w:before="40" w:after="40"/>
        <w:rPr>
          <w:b w:val="0"/>
          <w:bCs w:val="0"/>
          <w:sz w:val="24"/>
          <w:szCs w:val="24"/>
        </w:rPr>
      </w:pPr>
    </w:p>
    <w:p w14:paraId="63A47CA7">
      <w:pPr>
        <w:spacing w:before="100" w:after="100"/>
        <w:jc w:val="center"/>
        <w:rPr>
          <w:b w:val="0"/>
          <w:bCs w:val="0"/>
          <w:sz w:val="24"/>
          <w:szCs w:val="24"/>
        </w:rPr>
      </w:pPr>
      <m:oMathPara>
        <m:oMath>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BCE</m:t>
              </m:r>
              <m:ctrlPr>
                <w:rPr>
                  <w:rFonts w:ascii="Cambria Math" w:hAnsi="Cambria Math"/>
                  <w:b w:val="0"/>
                  <w:bCs w:val="0"/>
                  <w:sz w:val="24"/>
                  <w:szCs w:val="24"/>
                </w:rPr>
              </m:ctrlPr>
            </m:sub>
          </m:sSub>
          <m:r>
            <m:rPr/>
            <w:rPr>
              <w:rFonts w:ascii="Cambria Math" w:hAnsi="Cambria Math"/>
              <w:sz w:val="24"/>
              <w:szCs w:val="24"/>
            </w:rPr>
            <m:t>=  −</m:t>
          </m:r>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|K|</m:t>
              </m:r>
              <m:ctrlPr>
                <w:rPr>
                  <w:rFonts w:ascii="Cambria Math" w:hAnsi="Cambria Math"/>
                  <w:b w:val="0"/>
                  <w:bCs w:val="0"/>
                  <w:sz w:val="24"/>
                  <w:szCs w:val="24"/>
                </w:rPr>
              </m:ctrlPr>
            </m:den>
          </m:f>
          <m:r>
            <m:rPr/>
            <w:rPr>
              <w:rFonts w:ascii="Cambria Math" w:hAnsi="Cambria Math"/>
              <w:sz w:val="24"/>
              <w:szCs w:val="24"/>
            </w:rPr>
            <m:t>·  Σ</m:t>
          </m:r>
          <m:sSubSup>
            <m:sSubSupPr>
              <m:ctrlPr>
                <w:rPr>
                  <w:rFonts w:ascii="Cambria Math" w:hAnsi="Cambria Math"/>
                  <w:b w:val="0"/>
                  <w:bCs w:val="0"/>
                  <w:sz w:val="24"/>
                  <w:szCs w:val="24"/>
                </w:rPr>
              </m:ctrlPr>
            </m:sSubSupPr>
            <m:e>
              <m:r>
                <m:rPr/>
                <w:rPr>
                  <w:rFonts w:ascii="Cambria Math" w:hAnsi="Cambria Math"/>
                  <w:sz w:val="24"/>
                  <w:szCs w:val="24"/>
                </w:rPr>
                <m:t>k</m:t>
              </m:r>
              <m:ctrlPr>
                <w:rPr>
                  <w:rFonts w:ascii="Cambria Math" w:hAnsi="Cambria Math"/>
                  <w:b w:val="0"/>
                  <w:bCs w:val="0"/>
                  <w:sz w:val="24"/>
                  <w:szCs w:val="24"/>
                </w:rPr>
              </m:ctrlPr>
            </m:e>
            <m:sub>
              <m:r>
                <m:rPr/>
                <w:rPr>
                  <w:rFonts w:ascii="Cambria Math" w:hAnsi="Cambria Math"/>
                  <w:sz w:val="24"/>
                  <w:szCs w:val="24"/>
                </w:rPr>
                <m:t>k=1</m:t>
              </m:r>
              <m:ctrlPr>
                <w:rPr>
                  <w:rFonts w:ascii="Cambria Math" w:hAnsi="Cambria Math"/>
                  <w:b w:val="0"/>
                  <w:bCs w:val="0"/>
                  <w:sz w:val="24"/>
                  <w:szCs w:val="24"/>
                </w:rPr>
              </m:ctrlPr>
            </m:sub>
            <m:sup>
              <m:r>
                <m:rPr/>
                <w:rPr>
                  <w:rFonts w:ascii="Cambria Math" w:hAnsi="Cambria Math"/>
                  <w:sz w:val="24"/>
                  <w:szCs w:val="24"/>
                </w:rPr>
                <m:t>|K|</m:t>
              </m:r>
              <m:ctrlPr>
                <w:rPr>
                  <w:rFonts w:ascii="Cambria Math" w:hAnsi="Cambria Math"/>
                  <w:b w:val="0"/>
                  <w:bCs w:val="0"/>
                  <w:sz w:val="24"/>
                  <w:szCs w:val="24"/>
                </w:rPr>
              </m:ctrlPr>
            </m:sup>
          </m:sSubSup>
          <m:r>
            <m:rPr/>
            <w:rPr>
              <w:rFonts w:ascii="Cambria Math" w:hAnsi="Cambria Math"/>
              <w:sz w:val="24"/>
              <w:szCs w:val="24"/>
            </w:rPr>
            <m:t>[ wₖ · yₖ log pₖ  +  (1−yₖ) log(1−pₖ) ]</m:t>
          </m:r>
        </m:oMath>
      </m:oMathPara>
    </w:p>
    <w:p w14:paraId="628AC43A">
      <w:pPr>
        <w:spacing w:before="40" w:after="40"/>
        <w:rPr>
          <w:b w:val="0"/>
          <w:bCs w:val="0"/>
          <w:sz w:val="24"/>
          <w:szCs w:val="24"/>
        </w:rPr>
      </w:pPr>
    </w:p>
    <w:p w14:paraId="61442EAD">
      <w:pPr>
        <w:spacing w:before="60" w:after="100"/>
        <w:ind w:firstLine="480" w:firstLineChars="200"/>
        <w:jc w:val="both"/>
        <w:rPr>
          <w:b w:val="0"/>
          <w:bCs w:val="0"/>
          <w:sz w:val="24"/>
          <w:szCs w:val="24"/>
        </w:rPr>
      </w:pPr>
      <w:r>
        <w:rPr>
          <w:rFonts w:ascii="Arial" w:hAnsi="Arial" w:eastAsia="Arial" w:cs="Arial"/>
          <w:b w:val="0"/>
          <w:bCs w:val="0"/>
          <w:sz w:val="24"/>
          <w:szCs w:val="24"/>
        </w:rPr>
        <w:t>α = 0.3 的设计逻辑：监督信号（70%）足以防止预测坍塌，保证模型学习判别性特征；规则约束（30%）保持真实意义，使 ltn_sat 反映真实规则满足程度。两项梯度方向通常一致，不产生明显优化冲突。</w:t>
      </w:r>
    </w:p>
    <w:p w14:paraId="63CD3D6C">
      <w:pPr>
        <w:spacing w:before="40" w:after="40"/>
        <w:rPr>
          <w:b w:val="0"/>
          <w:bCs w:val="0"/>
        </w:rPr>
      </w:pPr>
    </w:p>
    <w:p w14:paraId="37D49E02">
      <w:pPr>
        <w:pStyle w:val="4"/>
        <w:bidi w:val="0"/>
      </w:pPr>
      <w:r>
        <w:t>4.2 改进二：加权 BCE 处理极端类别不平衡</w:t>
      </w:r>
    </w:p>
    <w:p w14:paraId="6DBFF425">
      <w:pPr>
        <w:pStyle w:val="4"/>
        <w:spacing w:before="180" w:after="80"/>
        <w:rPr>
          <w:b w:val="0"/>
          <w:bCs w:val="0"/>
          <w:color w:val="000000" w:themeColor="text1"/>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4.2.1 原论文方法与其局限</w:t>
      </w:r>
    </w:p>
    <w:p w14:paraId="3BB5AE41">
      <w:pPr>
        <w:spacing w:before="60" w:after="100"/>
        <w:ind w:firstLine="480" w:firstLineChars="200"/>
        <w:jc w:val="both"/>
        <w:rPr>
          <w:b w:val="0"/>
          <w:bCs w:val="0"/>
          <w:sz w:val="24"/>
          <w:szCs w:val="24"/>
        </w:rPr>
      </w:pPr>
      <w:r>
        <w:rPr>
          <w:rFonts w:ascii="Arial" w:hAnsi="Arial" w:eastAsia="Arial" w:cs="Arial"/>
          <w:b w:val="0"/>
          <w:bCs w:val="0"/>
          <w:sz w:val="24"/>
          <w:szCs w:val="24"/>
        </w:rPr>
        <w:t>原论文猫狗示例中两类样本完全均衡，无需考虑不平衡问题。本实验 7 个谓词的正例率从 0.5%（commut）到 81%（functor）不等，如果使用普通 BCE，极少数正例（如 commut 测试集仅 7 个）的监督信号会被大量负例淹没，导致模型对稀少类别几乎无法识别。</w:t>
      </w:r>
    </w:p>
    <w:p w14:paraId="502756A2">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4.2.2 改进方案：动态正例权重</w:t>
      </w:r>
    </w:p>
    <w:p w14:paraId="4BC9B6AE">
      <w:pPr>
        <w:spacing w:before="60" w:after="100"/>
        <w:ind w:firstLine="480" w:firstLineChars="200"/>
        <w:jc w:val="both"/>
        <w:rPr>
          <w:b w:val="0"/>
          <w:bCs w:val="0"/>
          <w:sz w:val="24"/>
          <w:szCs w:val="24"/>
        </w:rPr>
      </w:pPr>
      <w:r>
        <w:rPr>
          <w:rFonts w:ascii="Arial" w:hAnsi="Arial" w:eastAsia="Arial" w:cs="Arial"/>
          <w:b w:val="0"/>
          <w:bCs w:val="0"/>
          <w:sz w:val="24"/>
          <w:szCs w:val="24"/>
        </w:rPr>
        <w:t>对每个谓词 k，在每个批次内动态计算正例权重：</w:t>
      </w:r>
    </w:p>
    <w:p w14:paraId="50EC8D27">
      <w:pPr>
        <w:spacing w:before="40" w:after="40"/>
        <w:rPr>
          <w:b w:val="0"/>
          <w:bCs w:val="0"/>
          <w:sz w:val="24"/>
          <w:szCs w:val="24"/>
        </w:rPr>
      </w:pPr>
    </w:p>
    <w:p w14:paraId="28B3617A">
      <w:pPr>
        <w:spacing w:before="100" w:after="100"/>
        <w:jc w:val="center"/>
        <w:rPr>
          <w:b w:val="0"/>
          <w:bCs w:val="0"/>
          <w:sz w:val="24"/>
          <w:szCs w:val="24"/>
        </w:rPr>
      </w:pPr>
      <m:oMathPara>
        <m:oMath>
          <m:r>
            <m:rPr/>
            <w:rPr>
              <w:rFonts w:ascii="Cambria Math" w:hAnsi="Cambria Math"/>
              <w:sz w:val="24"/>
              <w:szCs w:val="24"/>
            </w:rPr>
            <m:t>wₖ  =  min</m:t>
          </m:r>
          <m:d>
            <m:dPr>
              <m:ctrlPr>
                <w:rPr>
                  <w:rFonts w:ascii="Cambria Math" w:hAnsi="Cambria Math"/>
                  <w:b w:val="0"/>
                  <w:bCs w:val="0"/>
                  <w:sz w:val="24"/>
                  <w:szCs w:val="24"/>
                </w:rPr>
              </m:ctrlPr>
            </m:dPr>
            <m:e>
              <m:f>
                <m:fPr>
                  <m:ctrlPr>
                    <w:rPr>
                      <w:rFonts w:ascii="Cambria Math" w:hAnsi="Cambria Math"/>
                      <w:b w:val="0"/>
                      <w:bCs w:val="0"/>
                      <w:sz w:val="24"/>
                      <w:szCs w:val="24"/>
                    </w:rPr>
                  </m:ctrlPr>
                </m:fPr>
                <m:num>
                  <m:r>
                    <m:rPr/>
                    <w:rPr>
                      <w:rFonts w:ascii="Cambria Math" w:hAnsi="Cambria Math"/>
                      <w:sz w:val="24"/>
                      <w:szCs w:val="24"/>
                    </w:rPr>
                    <m:t>neg_k</m:t>
                  </m:r>
                  <m:ctrlPr>
                    <w:rPr>
                      <w:rFonts w:ascii="Cambria Math" w:hAnsi="Cambria Math"/>
                      <w:b w:val="0"/>
                      <w:bCs w:val="0"/>
                      <w:sz w:val="24"/>
                      <w:szCs w:val="24"/>
                    </w:rPr>
                  </m:ctrlPr>
                </m:num>
                <m:den>
                  <m:r>
                    <m:rPr/>
                    <w:rPr>
                      <w:rFonts w:ascii="Cambria Math" w:hAnsi="Cambria Math"/>
                      <w:sz w:val="24"/>
                      <w:szCs w:val="24"/>
                    </w:rPr>
                    <m:t>pos_k</m:t>
                  </m:r>
                  <m:ctrlPr>
                    <w:rPr>
                      <w:rFonts w:ascii="Cambria Math" w:hAnsi="Cambria Math"/>
                      <w:b w:val="0"/>
                      <w:bCs w:val="0"/>
                      <w:sz w:val="24"/>
                      <w:szCs w:val="24"/>
                    </w:rPr>
                  </m:ctrlPr>
                </m:den>
              </m:f>
              <m:r>
                <m:rPr/>
                <w:rPr>
                  <w:rFonts w:ascii="Cambria Math" w:hAnsi="Cambria Math"/>
                  <w:sz w:val="24"/>
                  <w:szCs w:val="24"/>
                </w:rPr>
                <m:t>,   30</m:t>
              </m:r>
              <m:ctrlPr>
                <w:rPr>
                  <w:rFonts w:ascii="Cambria Math" w:hAnsi="Cambria Math"/>
                  <w:b w:val="0"/>
                  <w:bCs w:val="0"/>
                  <w:sz w:val="24"/>
                  <w:szCs w:val="24"/>
                </w:rPr>
              </m:ctrlPr>
            </m:e>
          </m:d>
        </m:oMath>
      </m:oMathPara>
    </w:p>
    <w:p w14:paraId="7549FFBC">
      <w:pPr>
        <w:spacing w:before="40" w:after="40"/>
        <w:rPr>
          <w:b w:val="0"/>
          <w:bCs w:val="0"/>
          <w:sz w:val="24"/>
          <w:szCs w:val="24"/>
        </w:rPr>
      </w:pPr>
    </w:p>
    <w:p w14:paraId="6363D43F">
      <w:pPr>
        <w:spacing w:before="60" w:after="100"/>
        <w:ind w:firstLine="480" w:firstLineChars="200"/>
        <w:jc w:val="both"/>
        <w:rPr>
          <w:b w:val="0"/>
          <w:bCs w:val="0"/>
          <w:sz w:val="24"/>
          <w:szCs w:val="24"/>
        </w:rPr>
      </w:pPr>
      <w:r>
        <w:rPr>
          <w:rFonts w:ascii="Arial" w:hAnsi="Arial" w:eastAsia="Arial" w:cs="Arial"/>
          <w:b w:val="0"/>
          <w:bCs w:val="0"/>
          <w:sz w:val="24"/>
          <w:szCs w:val="24"/>
        </w:rPr>
        <w:t>其中 pos_k 和 neg_k 分别为当前批次中谓词 k 的正例数和负例数。上限 30 防止 commut 等极端情况（理论权重约 neg/pos ≈ 200）下的梯度爆炸。该设计使稀少类别（如仅 23 个全局正例的 commut）能够在每个批次中获得足够强的监督信号。</w:t>
      </w:r>
    </w:p>
    <w:p w14:paraId="4BB0CB69">
      <w:pPr>
        <w:spacing w:before="40" w:after="40"/>
        <w:rPr>
          <w:b w:val="0"/>
          <w:bCs w:val="0"/>
        </w:rPr>
      </w:pPr>
    </w:p>
    <w:p w14:paraId="66DCAC34">
      <w:pPr>
        <w:pStyle w:val="4"/>
        <w:bidi w:val="0"/>
      </w:pPr>
      <w:r>
        <w:t>4.3 改进三：7 谓词独立网络多标签系统</w:t>
      </w:r>
    </w:p>
    <w:p w14:paraId="3F82274D">
      <w:pPr>
        <w:pStyle w:val="4"/>
        <w:spacing w:before="180" w:after="80"/>
        <w:rPr>
          <w:b w:val="0"/>
          <w:bCs w:val="0"/>
          <w:sz w:val="24"/>
          <w:szCs w:val="24"/>
        </w:rPr>
      </w:pPr>
      <w:r>
        <w:rPr>
          <w:rFonts w:ascii="Arial" w:hAnsi="Arial" w:eastAsia="Arial" w:cs="Arial"/>
          <w:b w:val="0"/>
          <w:bCs w:val="0"/>
          <w:color w:val="2E4057"/>
          <w:sz w:val="24"/>
          <w:szCs w:val="24"/>
        </w:rPr>
        <w:t xml:space="preserve">4.3.1 </w:t>
      </w:r>
      <w:r>
        <w:rPr>
          <w:rFonts w:ascii="Arial" w:hAnsi="Arial" w:eastAsia="Arial" w:cs="Arial"/>
          <w:b w:val="0"/>
          <w:bCs w:val="0"/>
          <w:color w:val="000000" w:themeColor="text1"/>
          <w:sz w:val="24"/>
          <w:szCs w:val="24"/>
          <w14:textFill>
            <w14:solidFill>
              <w14:schemeClr w14:val="tx1"/>
            </w14:solidFill>
          </w14:textFill>
        </w:rPr>
        <w:t>原论文方法与其局限</w:t>
      </w:r>
    </w:p>
    <w:p w14:paraId="5964A05F">
      <w:pPr>
        <w:spacing w:before="60" w:after="100"/>
        <w:ind w:firstLine="480" w:firstLineChars="200"/>
        <w:jc w:val="both"/>
        <w:rPr>
          <w:b w:val="0"/>
          <w:bCs w:val="0"/>
          <w:sz w:val="24"/>
          <w:szCs w:val="24"/>
        </w:rPr>
      </w:pPr>
      <w:r>
        <w:rPr>
          <w:rFonts w:ascii="Arial" w:hAnsi="Arial" w:eastAsia="Arial" w:cs="Arial"/>
          <w:b w:val="0"/>
          <w:bCs w:val="0"/>
          <w:sz w:val="24"/>
          <w:szCs w:val="24"/>
        </w:rPr>
        <w:t>原论文猫狗示例仅有 1 个谓词（Dog）和 1 个 CNN 网络。没有涉及多谓词联合预测，不存在不同谓词之间的监督信号干扰问题。</w:t>
      </w:r>
    </w:p>
    <w:p w14:paraId="59C05A03">
      <w:pPr>
        <w:pStyle w:val="4"/>
        <w:spacing w:before="180" w:after="80"/>
        <w:rPr>
          <w:b w:val="0"/>
          <w:bCs w:val="0"/>
          <w:sz w:val="24"/>
          <w:szCs w:val="24"/>
        </w:rPr>
      </w:pPr>
      <w:r>
        <w:rPr>
          <w:rFonts w:ascii="Arial" w:hAnsi="Arial" w:eastAsia="Arial" w:cs="Arial"/>
          <w:b w:val="0"/>
          <w:bCs w:val="0"/>
          <w:color w:val="2E4057"/>
          <w:sz w:val="24"/>
          <w:szCs w:val="24"/>
        </w:rPr>
        <w:t xml:space="preserve">4.3.2 </w:t>
      </w:r>
      <w:r>
        <w:rPr>
          <w:rFonts w:ascii="Arial" w:hAnsi="Arial" w:eastAsia="Arial" w:cs="Arial"/>
          <w:b w:val="0"/>
          <w:bCs w:val="0"/>
          <w:color w:val="000000" w:themeColor="text1"/>
          <w:sz w:val="24"/>
          <w:szCs w:val="24"/>
          <w14:textFill>
            <w14:solidFill>
              <w14:schemeClr w14:val="tx1"/>
            </w14:solidFill>
          </w14:textFill>
        </w:rPr>
        <w:t>改进方案：独立谓词网络 + 5 条领域规则</w:t>
      </w:r>
    </w:p>
    <w:p w14:paraId="2A9C65A0">
      <w:pPr>
        <w:spacing w:before="60" w:after="100"/>
        <w:ind w:firstLine="480" w:firstLineChars="200"/>
        <w:jc w:val="both"/>
        <w:rPr>
          <w:b w:val="0"/>
          <w:bCs w:val="0"/>
          <w:sz w:val="24"/>
          <w:szCs w:val="24"/>
        </w:rPr>
      </w:pPr>
      <w:r>
        <w:rPr>
          <w:rFonts w:ascii="Arial" w:hAnsi="Arial" w:eastAsia="Arial" w:cs="Arial"/>
          <w:b w:val="0"/>
          <w:bCs w:val="0"/>
          <w:sz w:val="24"/>
          <w:szCs w:val="24"/>
        </w:rPr>
        <w:t>本实验设计 7 个完全独立的 MLP 谓词网络（通过 nn.ModuleDict 统一管理），每个谓词有独立参数，避免共享网络中一个任务的梯度干扰其他任务的优化。网络结构如下：</w:t>
      </w:r>
    </w:p>
    <w:p w14:paraId="15278B04">
      <w:pPr>
        <w:spacing w:before="40" w:after="40"/>
        <w:rPr>
          <w:b w:val="0"/>
          <w:bCs w:val="0"/>
        </w:rPr>
      </w:pPr>
    </w:p>
    <w:p w14:paraId="068D3895">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输入:   x ∈ R^300  (L2 归一化 TF-IDF 特征向量)</w:t>
      </w:r>
    </w:p>
    <w:p w14:paraId="2B37624E">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层 1:  Linear(300→256) → LayerNorm(256) → GELU → Dropout(0.15)</w:t>
      </w:r>
    </w:p>
    <w:p w14:paraId="34A0B5EB">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层 2:  Linear(256→128) → LayerNorm(128) → GELU → Dropout(0.10)</w:t>
      </w:r>
    </w:p>
    <w:p w14:paraId="752CFE71">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输出:  Linear(128→1)   → Sigmoid        → safe(ε=1e-7)</w:t>
      </w:r>
    </w:p>
    <w:p w14:paraId="61DC3E4D">
      <w:pPr>
        <w:spacing w:before="16" w:after="16"/>
        <w:rPr>
          <w:b w:val="0"/>
          <w:bCs w:val="0"/>
          <w:color w:val="000000" w:themeColor="text1"/>
          <w14:textFill>
            <w14:solidFill>
              <w14:schemeClr w14:val="tx1"/>
            </w14:solidFill>
          </w14:textFill>
        </w:rPr>
      </w:pPr>
      <w:r>
        <w:rPr>
          <w:rFonts w:ascii="Courier New" w:hAnsi="Courier New" w:eastAsia="Courier New" w:cs="Courier New"/>
          <w:b w:val="0"/>
          <w:bCs w:val="0"/>
          <w:color w:val="000000" w:themeColor="text1"/>
          <w:sz w:val="18"/>
          <w:szCs w:val="18"/>
          <w14:textFill>
            <w14:solidFill>
              <w14:schemeClr w14:val="tx1"/>
            </w14:solidFill>
          </w14:textFill>
        </w:rPr>
        <w:t>输出范围: (ε, 1-ε) ⊂ [0,1]  (模糊真值)</w:t>
      </w:r>
    </w:p>
    <w:p w14:paraId="3F0E2BEB">
      <w:pPr>
        <w:spacing w:before="40" w:after="40"/>
        <w:rPr>
          <w:b w:val="0"/>
          <w:bCs w:val="0"/>
        </w:rPr>
      </w:pPr>
    </w:p>
    <w:p w14:paraId="65863F3D">
      <w:pPr>
        <w:spacing w:before="60" w:after="100"/>
        <w:ind w:firstLine="480" w:firstLineChars="200"/>
        <w:jc w:val="both"/>
        <w:rPr>
          <w:rFonts w:ascii="Arial" w:hAnsi="Arial" w:eastAsia="Arial" w:cs="Arial"/>
          <w:b/>
          <w:bCs/>
          <w:i w:val="0"/>
          <w:iCs w:val="0"/>
          <w:color w:val="000000" w:themeColor="text1"/>
          <w:sz w:val="24"/>
          <w:szCs w:val="24"/>
          <w14:textFill>
            <w14:solidFill>
              <w14:schemeClr w14:val="tx1"/>
            </w14:solidFill>
          </w14:textFill>
        </w:rPr>
      </w:pPr>
      <w:r>
        <w:rPr>
          <w:rFonts w:ascii="Arial" w:hAnsi="Arial" w:eastAsia="Arial" w:cs="Arial"/>
          <w:b w:val="0"/>
          <w:bCs w:val="0"/>
          <w:sz w:val="24"/>
          <w:szCs w:val="24"/>
        </w:rPr>
        <w:t>同时构建包含 5 条一阶逻辑规则的知识库 K，这些规则基于 CNF 数学公理的领域先验知识设计：</w:t>
      </w:r>
    </w:p>
    <w:p w14:paraId="0BF80F61">
      <w:pPr>
        <w:spacing w:before="60" w:after="120"/>
        <w:jc w:val="center"/>
        <w:rPr>
          <w:rFonts w:ascii="Arial" w:hAnsi="Arial" w:eastAsia="Arial" w:cs="Arial"/>
          <w:b/>
          <w:bCs/>
          <w:i w:val="0"/>
          <w:iCs w:val="0"/>
          <w:color w:val="000000" w:themeColor="text1"/>
          <w:sz w:val="24"/>
          <w:szCs w:val="24"/>
          <w14:textFill>
            <w14:solidFill>
              <w14:schemeClr w14:val="tx1"/>
            </w14:solidFill>
          </w14:textFill>
        </w:rPr>
      </w:pPr>
      <w:r>
        <w:rPr>
          <w:rFonts w:ascii="Arial" w:hAnsi="Arial" w:eastAsia="Arial" w:cs="Arial"/>
          <w:b/>
          <w:bCs/>
          <w:i w:val="0"/>
          <w:iCs w:val="0"/>
          <w:color w:val="000000" w:themeColor="text1"/>
          <w:sz w:val="20"/>
          <w:szCs w:val="20"/>
          <w14:textFill>
            <w14:solidFill>
              <w14:schemeClr w14:val="tx1"/>
            </w14:solidFill>
          </w14:textFill>
        </w:rPr>
        <w:t>表 4.1  知识库中 5 条逻辑规则的定义与强度评估</w:t>
      </w:r>
    </w:p>
    <w:tbl>
      <w:tblPr>
        <w:tblStyle w:val="11"/>
        <w:tblW w:w="7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800"/>
        <w:gridCol w:w="2300"/>
        <w:gridCol w:w="1226"/>
      </w:tblGrid>
      <w:tr w14:paraId="30A1C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05969623">
            <w:pPr>
              <w:jc w:val="center"/>
              <w:rPr>
                <w:b w:val="0"/>
                <w:bCs w:val="0"/>
              </w:rPr>
            </w:pPr>
            <w:r>
              <w:rPr>
                <w:rFonts w:ascii="Arial" w:hAnsi="Arial" w:eastAsia="Arial" w:cs="Arial"/>
                <w:b w:val="0"/>
                <w:bCs w:val="0"/>
                <w:color w:val="FFFFFF"/>
                <w:sz w:val="20"/>
                <w:szCs w:val="20"/>
              </w:rPr>
              <w:t>规则</w:t>
            </w:r>
          </w:p>
        </w:tc>
        <w:tc>
          <w:tcPr>
            <w:tcW w:w="2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7F63E903">
            <w:pPr>
              <w:jc w:val="center"/>
              <w:rPr>
                <w:b w:val="0"/>
                <w:bCs w:val="0"/>
              </w:rPr>
            </w:pPr>
            <w:r>
              <w:rPr>
                <w:rFonts w:ascii="Arial" w:hAnsi="Arial" w:eastAsia="Arial" w:cs="Arial"/>
                <w:b w:val="0"/>
                <w:bCs w:val="0"/>
                <w:color w:val="FFFFFF"/>
                <w:sz w:val="20"/>
                <w:szCs w:val="20"/>
              </w:rPr>
              <w:t>一阶逻辑公式</w:t>
            </w:r>
          </w:p>
        </w:tc>
        <w:tc>
          <w:tcPr>
            <w:tcW w:w="23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3E3AB771">
            <w:pPr>
              <w:jc w:val="center"/>
              <w:rPr>
                <w:b w:val="0"/>
                <w:bCs w:val="0"/>
              </w:rPr>
            </w:pPr>
            <w:r>
              <w:rPr>
                <w:rFonts w:ascii="Arial" w:hAnsi="Arial" w:eastAsia="Arial" w:cs="Arial"/>
                <w:b w:val="0"/>
                <w:bCs w:val="0"/>
                <w:color w:val="FFFFFF"/>
                <w:sz w:val="20"/>
                <w:szCs w:val="20"/>
              </w:rPr>
              <w:t>领域含义</w:t>
            </w:r>
          </w:p>
        </w:tc>
        <w:tc>
          <w:tcPr>
            <w:tcW w:w="1226"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6475984">
            <w:pPr>
              <w:jc w:val="center"/>
              <w:rPr>
                <w:b w:val="0"/>
                <w:bCs w:val="0"/>
              </w:rPr>
            </w:pPr>
            <w:r>
              <w:rPr>
                <w:rFonts w:ascii="Arial" w:hAnsi="Arial" w:eastAsia="Arial" w:cs="Arial"/>
                <w:b w:val="0"/>
                <w:bCs w:val="0"/>
                <w:color w:val="FFFFFF"/>
                <w:sz w:val="20"/>
                <w:szCs w:val="20"/>
              </w:rPr>
              <w:t>规则强度</w:t>
            </w:r>
          </w:p>
        </w:tc>
      </w:tr>
      <w:tr w14:paraId="6E2A4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D2CFA54">
            <w:pPr>
              <w:jc w:val="center"/>
              <w:rPr>
                <w:b w:val="0"/>
                <w:bCs w:val="0"/>
              </w:rPr>
            </w:pPr>
            <w:r>
              <w:rPr>
                <w:rFonts w:ascii="Arial" w:hAnsi="Arial" w:eastAsia="Arial" w:cs="Arial"/>
                <w:b w:val="0"/>
                <w:bCs w:val="0"/>
                <w:sz w:val="20"/>
                <w:szCs w:val="20"/>
              </w:rPr>
              <w:t>R1</w:t>
            </w:r>
          </w:p>
        </w:tc>
        <w:tc>
          <w:tcPr>
            <w:tcW w:w="2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89B8926">
            <w:pPr>
              <w:jc w:val="center"/>
              <w:rPr>
                <w:b w:val="0"/>
                <w:bCs w:val="0"/>
              </w:rPr>
            </w:pPr>
            <w:r>
              <w:rPr>
                <w:rFonts w:ascii="Arial" w:hAnsi="Arial" w:eastAsia="Arial" w:cs="Arial"/>
                <w:b w:val="0"/>
                <w:bCs w:val="0"/>
                <w:sz w:val="20"/>
                <w:szCs w:val="20"/>
              </w:rPr>
              <w:t>∀x  Empty(x) ⇒ ¬Theorem(x)</w:t>
            </w:r>
          </w:p>
        </w:tc>
        <w:tc>
          <w:tcPr>
            <w:tcW w:w="2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01C0B39">
            <w:pPr>
              <w:jc w:val="center"/>
              <w:rPr>
                <w:b w:val="0"/>
                <w:bCs w:val="0"/>
              </w:rPr>
            </w:pPr>
            <w:r>
              <w:rPr>
                <w:rFonts w:ascii="Arial" w:hAnsi="Arial" w:eastAsia="Arial" w:cs="Arial"/>
                <w:b w:val="0"/>
                <w:bCs w:val="0"/>
                <w:sz w:val="20"/>
                <w:szCs w:val="20"/>
              </w:rPr>
              <w:t>含空集符号的公理不是定理</w:t>
            </w:r>
          </w:p>
        </w:tc>
        <w:tc>
          <w:tcPr>
            <w:tcW w:w="12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4D8127B">
            <w:pPr>
              <w:jc w:val="center"/>
              <w:rPr>
                <w:b w:val="0"/>
                <w:bCs w:val="0"/>
              </w:rPr>
            </w:pPr>
            <w:r>
              <w:rPr>
                <w:rFonts w:ascii="Arial" w:hAnsi="Arial" w:eastAsia="Arial" w:cs="Arial"/>
                <w:b w:val="0"/>
                <w:bCs w:val="0"/>
                <w:sz w:val="20"/>
                <w:szCs w:val="20"/>
              </w:rPr>
              <w:t>强（数据一致）</w:t>
            </w:r>
          </w:p>
        </w:tc>
      </w:tr>
      <w:tr w14:paraId="40BCB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5C1CAEE">
            <w:pPr>
              <w:jc w:val="center"/>
              <w:rPr>
                <w:b w:val="0"/>
                <w:bCs w:val="0"/>
              </w:rPr>
            </w:pPr>
            <w:r>
              <w:rPr>
                <w:rFonts w:ascii="Arial" w:hAnsi="Arial" w:eastAsia="Arial" w:cs="Arial"/>
                <w:b w:val="0"/>
                <w:bCs w:val="0"/>
                <w:sz w:val="20"/>
                <w:szCs w:val="20"/>
              </w:rPr>
              <w:t>R2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0C67598">
            <w:pPr>
              <w:jc w:val="center"/>
              <w:rPr>
                <w:b w:val="0"/>
                <w:bCs w:val="0"/>
              </w:rPr>
            </w:pPr>
            <w:r>
              <w:rPr>
                <w:rFonts w:ascii="Arial" w:hAnsi="Arial" w:eastAsia="Arial" w:cs="Arial"/>
                <w:b w:val="0"/>
                <w:bCs w:val="0"/>
                <w:sz w:val="20"/>
                <w:szCs w:val="20"/>
              </w:rPr>
              <w:t>∀x  SetRel(x) ⇒ ¬Definition(x)</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9085212">
            <w:pPr>
              <w:jc w:val="center"/>
              <w:rPr>
                <w:b w:val="0"/>
                <w:bCs w:val="0"/>
              </w:rPr>
            </w:pPr>
            <w:r>
              <w:rPr>
                <w:rFonts w:ascii="Arial" w:hAnsi="Arial" w:eastAsia="Arial" w:cs="Arial"/>
                <w:b w:val="0"/>
                <w:bCs w:val="0"/>
                <w:sz w:val="20"/>
                <w:szCs w:val="20"/>
              </w:rPr>
              <w:t>集合关系公理不是定义</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ECC08A3">
            <w:pPr>
              <w:jc w:val="center"/>
              <w:rPr>
                <w:b w:val="0"/>
                <w:bCs w:val="0"/>
              </w:rPr>
            </w:pPr>
            <w:r>
              <w:rPr>
                <w:rFonts w:ascii="Arial" w:hAnsi="Arial" w:eastAsia="Arial" w:cs="Arial"/>
                <w:b w:val="0"/>
                <w:bCs w:val="0"/>
                <w:sz w:val="20"/>
                <w:szCs w:val="20"/>
              </w:rPr>
              <w:t>较强</w:t>
            </w:r>
          </w:p>
        </w:tc>
      </w:tr>
      <w:tr w14:paraId="37E6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CA722C5">
            <w:pPr>
              <w:jc w:val="center"/>
              <w:rPr>
                <w:b w:val="0"/>
                <w:bCs w:val="0"/>
              </w:rPr>
            </w:pPr>
            <w:r>
              <w:rPr>
                <w:rFonts w:ascii="Arial" w:hAnsi="Arial" w:eastAsia="Arial" w:cs="Arial"/>
                <w:b w:val="0"/>
                <w:bCs w:val="0"/>
                <w:sz w:val="20"/>
                <w:szCs w:val="20"/>
              </w:rPr>
              <w:t>R3</w:t>
            </w:r>
          </w:p>
        </w:tc>
        <w:tc>
          <w:tcPr>
            <w:tcW w:w="2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C52B7E3">
            <w:pPr>
              <w:jc w:val="center"/>
              <w:rPr>
                <w:b w:val="0"/>
                <w:bCs w:val="0"/>
              </w:rPr>
            </w:pPr>
            <w:r>
              <w:rPr>
                <w:rFonts w:ascii="Arial" w:hAnsi="Arial" w:eastAsia="Arial" w:cs="Arial"/>
                <w:b w:val="0"/>
                <w:bCs w:val="0"/>
                <w:sz w:val="20"/>
                <w:szCs w:val="20"/>
              </w:rPr>
              <w:t>∀x  Commut(x) ⇒ Functor(x)</w:t>
            </w:r>
          </w:p>
        </w:tc>
        <w:tc>
          <w:tcPr>
            <w:tcW w:w="2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02DA653">
            <w:pPr>
              <w:jc w:val="center"/>
              <w:rPr>
                <w:b w:val="0"/>
                <w:bCs w:val="0"/>
              </w:rPr>
            </w:pPr>
            <w:r>
              <w:rPr>
                <w:rFonts w:ascii="Arial" w:hAnsi="Arial" w:eastAsia="Arial" w:cs="Arial"/>
                <w:b w:val="0"/>
                <w:bCs w:val="0"/>
                <w:sz w:val="20"/>
                <w:szCs w:val="20"/>
              </w:rPr>
              <w:t>交换律公理必然含有函子符号</w:t>
            </w:r>
          </w:p>
        </w:tc>
        <w:tc>
          <w:tcPr>
            <w:tcW w:w="12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AFD80EA">
            <w:pPr>
              <w:jc w:val="center"/>
              <w:rPr>
                <w:b w:val="0"/>
                <w:bCs w:val="0"/>
              </w:rPr>
            </w:pPr>
            <w:r>
              <w:rPr>
                <w:rFonts w:ascii="Arial" w:hAnsi="Arial" w:eastAsia="Arial" w:cs="Arial"/>
                <w:b w:val="0"/>
                <w:bCs w:val="0"/>
                <w:sz w:val="20"/>
                <w:szCs w:val="20"/>
              </w:rPr>
              <w:t>最强（数学必然）</w:t>
            </w:r>
          </w:p>
        </w:tc>
      </w:tr>
      <w:tr w14:paraId="60853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94E730A">
            <w:pPr>
              <w:jc w:val="center"/>
              <w:rPr>
                <w:b w:val="0"/>
                <w:bCs w:val="0"/>
              </w:rPr>
            </w:pPr>
            <w:r>
              <w:rPr>
                <w:rFonts w:ascii="Arial" w:hAnsi="Arial" w:eastAsia="Arial" w:cs="Arial"/>
                <w:b w:val="0"/>
                <w:bCs w:val="0"/>
                <w:sz w:val="20"/>
                <w:szCs w:val="20"/>
              </w:rPr>
              <w:t>R4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8FA16AF">
            <w:pPr>
              <w:jc w:val="center"/>
              <w:rPr>
                <w:b w:val="0"/>
                <w:bCs w:val="0"/>
              </w:rPr>
            </w:pPr>
            <w:r>
              <w:rPr>
                <w:rFonts w:ascii="Arial" w:hAnsi="Arial" w:eastAsia="Arial" w:cs="Arial"/>
                <w:b w:val="0"/>
                <w:bCs w:val="0"/>
                <w:sz w:val="20"/>
                <w:szCs w:val="20"/>
              </w:rPr>
              <w:t>∀x  ManySym(x) ⇒ Theorem(x)</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0B06535">
            <w:pPr>
              <w:jc w:val="center"/>
              <w:rPr>
                <w:b w:val="0"/>
                <w:bCs w:val="0"/>
              </w:rPr>
            </w:pPr>
            <w:r>
              <w:rPr>
                <w:rFonts w:ascii="Arial" w:hAnsi="Arial" w:eastAsia="Arial" w:cs="Arial"/>
                <w:b w:val="0"/>
                <w:bCs w:val="0"/>
                <w:sz w:val="20"/>
                <w:szCs w:val="20"/>
              </w:rPr>
              <w:t>复杂公理倾向于是定理</w:t>
            </w:r>
          </w:p>
        </w:tc>
        <w:tc>
          <w:tcPr>
            <w:tcW w:w="12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1DD6483">
            <w:pPr>
              <w:jc w:val="center"/>
              <w:rPr>
                <w:b w:val="0"/>
                <w:bCs w:val="0"/>
              </w:rPr>
            </w:pPr>
            <w:r>
              <w:rPr>
                <w:rFonts w:ascii="Arial" w:hAnsi="Arial" w:eastAsia="Arial" w:cs="Arial"/>
                <w:b w:val="0"/>
                <w:bCs w:val="0"/>
                <w:sz w:val="20"/>
                <w:szCs w:val="20"/>
              </w:rPr>
              <w:t>弱（例外较多）</w:t>
            </w:r>
          </w:p>
        </w:tc>
      </w:tr>
      <w:tr w14:paraId="6BA80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B6807E2">
            <w:pPr>
              <w:jc w:val="center"/>
              <w:rPr>
                <w:b w:val="0"/>
                <w:bCs w:val="0"/>
              </w:rPr>
            </w:pPr>
            <w:r>
              <w:rPr>
                <w:rFonts w:ascii="Arial" w:hAnsi="Arial" w:eastAsia="Arial" w:cs="Arial"/>
                <w:b w:val="0"/>
                <w:bCs w:val="0"/>
                <w:sz w:val="20"/>
                <w:szCs w:val="20"/>
              </w:rPr>
              <w:t>R5</w:t>
            </w:r>
          </w:p>
        </w:tc>
        <w:tc>
          <w:tcPr>
            <w:tcW w:w="2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13D0EFD">
            <w:pPr>
              <w:jc w:val="center"/>
              <w:rPr>
                <w:b w:val="0"/>
                <w:bCs w:val="0"/>
              </w:rPr>
            </w:pPr>
            <w:r>
              <w:rPr>
                <w:rFonts w:ascii="Arial" w:hAnsi="Arial" w:eastAsia="Arial" w:cs="Arial"/>
                <w:b w:val="0"/>
                <w:bCs w:val="0"/>
                <w:sz w:val="20"/>
                <w:szCs w:val="20"/>
              </w:rPr>
              <w:t>∀x  Definition(x) ⇒ ¬Theorem(x)</w:t>
            </w:r>
          </w:p>
        </w:tc>
        <w:tc>
          <w:tcPr>
            <w:tcW w:w="23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1A18959">
            <w:pPr>
              <w:jc w:val="center"/>
              <w:rPr>
                <w:b w:val="0"/>
                <w:bCs w:val="0"/>
              </w:rPr>
            </w:pPr>
            <w:r>
              <w:rPr>
                <w:rFonts w:ascii="Arial" w:hAnsi="Arial" w:eastAsia="Arial" w:cs="Arial"/>
                <w:b w:val="0"/>
                <w:bCs w:val="0"/>
                <w:sz w:val="20"/>
                <w:szCs w:val="20"/>
              </w:rPr>
              <w:t>定义与定理在分类上互斥</w:t>
            </w:r>
          </w:p>
        </w:tc>
        <w:tc>
          <w:tcPr>
            <w:tcW w:w="12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6E98134">
            <w:pPr>
              <w:jc w:val="center"/>
              <w:rPr>
                <w:b w:val="0"/>
                <w:bCs w:val="0"/>
              </w:rPr>
            </w:pPr>
            <w:r>
              <w:rPr>
                <w:rFonts w:ascii="Arial" w:hAnsi="Arial" w:eastAsia="Arial" w:cs="Arial"/>
                <w:b w:val="0"/>
                <w:bCs w:val="0"/>
                <w:sz w:val="20"/>
                <w:szCs w:val="20"/>
              </w:rPr>
              <w:t>强（互斥关系）</w:t>
            </w:r>
          </w:p>
        </w:tc>
      </w:tr>
    </w:tbl>
    <w:p w14:paraId="53D54521">
      <w:pPr>
        <w:spacing w:before="40" w:after="40"/>
        <w:rPr>
          <w:b w:val="0"/>
          <w:bCs w:val="0"/>
        </w:rPr>
      </w:pPr>
    </w:p>
    <w:p w14:paraId="0FB6F8D4">
      <w:pPr>
        <w:pStyle w:val="4"/>
        <w:bidi w:val="0"/>
      </w:pPr>
      <w:r>
        <w:t>4.4 改进四：更鲁棒的网络设计与训练策略</w:t>
      </w:r>
    </w:p>
    <w:p w14:paraId="5141B5A7">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4.4.1 LayerNorm 替代 BatchNorm</w:t>
      </w:r>
    </w:p>
    <w:p w14:paraId="0924A96C">
      <w:pPr>
        <w:spacing w:before="60" w:after="100"/>
        <w:ind w:firstLine="480" w:firstLineChars="200"/>
        <w:jc w:val="both"/>
        <w:rPr>
          <w:b w:val="0"/>
          <w:bCs w:val="0"/>
          <w:sz w:val="24"/>
          <w:szCs w:val="24"/>
        </w:rPr>
      </w:pPr>
      <w:r>
        <w:rPr>
          <w:rFonts w:ascii="Arial" w:hAnsi="Arial" w:eastAsia="Arial" w:cs="Arial"/>
          <w:b w:val="0"/>
          <w:bCs w:val="0"/>
          <w:sz w:val="24"/>
          <w:szCs w:val="24"/>
        </w:rPr>
        <w:t>原论文未涉及归一化层选择。本实验使用 LayerNorm（层归一化）替代 BatchNorm：LayerNorm 沿特征维度归一化，不依赖批大小，在批大小 128 的训练中比 BatchNorm 更稳定，且在 Dropout 存在时方差控制更精确。计算公式为：</w:t>
      </w:r>
    </w:p>
    <w:p w14:paraId="1334BB39">
      <w:pPr>
        <w:spacing w:before="40" w:after="40"/>
        <w:rPr>
          <w:b w:val="0"/>
          <w:bCs w:val="0"/>
          <w:sz w:val="24"/>
          <w:szCs w:val="24"/>
        </w:rPr>
      </w:pPr>
    </w:p>
    <w:p w14:paraId="655DB76E">
      <w:pPr>
        <w:spacing w:before="100" w:after="100"/>
        <w:jc w:val="center"/>
        <w:rPr>
          <w:b w:val="0"/>
          <w:bCs w:val="0"/>
          <w:sz w:val="24"/>
          <w:szCs w:val="24"/>
        </w:rPr>
      </w:pPr>
      <m:oMathPara>
        <m:oMath>
          <m:r>
            <m:rPr/>
            <w:rPr>
              <w:rFonts w:ascii="Cambria Math" w:hAnsi="Cambria Math"/>
              <w:sz w:val="24"/>
              <w:szCs w:val="24"/>
            </w:rPr>
            <m:t>LayerNorm(x)  =  γ ·</m:t>
          </m:r>
          <m:f>
            <m:fPr>
              <m:ctrlPr>
                <w:rPr>
                  <w:rFonts w:ascii="Cambria Math" w:hAnsi="Cambria Math"/>
                  <w:b w:val="0"/>
                  <w:bCs w:val="0"/>
                  <w:sz w:val="24"/>
                  <w:szCs w:val="24"/>
                </w:rPr>
              </m:ctrlPr>
            </m:fPr>
            <m:num>
              <m:r>
                <m:rPr/>
                <w:rPr>
                  <w:rFonts w:ascii="Cambria Math" w:hAnsi="Cambria Math"/>
                  <w:sz w:val="24"/>
                  <w:szCs w:val="24"/>
                </w:rPr>
                <m:t>x − E[x]</m:t>
              </m:r>
              <m:ctrlPr>
                <w:rPr>
                  <w:rFonts w:ascii="Cambria Math" w:hAnsi="Cambria Math"/>
                  <w:b w:val="0"/>
                  <w:bCs w:val="0"/>
                  <w:sz w:val="24"/>
                  <w:szCs w:val="24"/>
                </w:rPr>
              </m:ctrlPr>
            </m:num>
            <m:den>
              <m:r>
                <m:rPr/>
                <w:rPr>
                  <w:rFonts w:ascii="Cambria Math" w:hAnsi="Cambria Math"/>
                  <w:sz w:val="24"/>
                  <w:szCs w:val="24"/>
                </w:rPr>
                <m:t>√(Var[x] + ε)</m:t>
              </m:r>
              <m:ctrlPr>
                <w:rPr>
                  <w:rFonts w:ascii="Cambria Math" w:hAnsi="Cambria Math"/>
                  <w:b w:val="0"/>
                  <w:bCs w:val="0"/>
                  <w:sz w:val="24"/>
                  <w:szCs w:val="24"/>
                </w:rPr>
              </m:ctrlPr>
            </m:den>
          </m:f>
          <m:r>
            <m:rPr/>
            <w:rPr>
              <w:rFonts w:ascii="Cambria Math" w:hAnsi="Cambria Math"/>
              <w:sz w:val="24"/>
              <w:szCs w:val="24"/>
            </w:rPr>
            <m:t>+  β</m:t>
          </m:r>
        </m:oMath>
      </m:oMathPara>
    </w:p>
    <w:p w14:paraId="75885BC8">
      <w:pPr>
        <w:spacing w:before="40" w:after="40"/>
        <w:rPr>
          <w:b w:val="0"/>
          <w:bCs w:val="0"/>
          <w:sz w:val="24"/>
          <w:szCs w:val="24"/>
        </w:rPr>
      </w:pPr>
    </w:p>
    <w:p w14:paraId="21F3AC8C">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4.4.2 数值稳定性四重保障</w:t>
      </w:r>
    </w:p>
    <w:p w14:paraId="54C9989E">
      <w:pPr>
        <w:pStyle w:val="16"/>
        <w:numPr>
          <w:ilvl w:val="0"/>
          <w:numId w:val="1"/>
        </w:numPr>
        <w:spacing w:before="40" w:after="40"/>
        <w:rPr>
          <w:b w:val="0"/>
          <w:bCs w:val="0"/>
          <w:sz w:val="24"/>
          <w:szCs w:val="24"/>
        </w:rPr>
      </w:pPr>
      <w:r>
        <w:rPr>
          <w:rFonts w:ascii="Arial" w:hAnsi="Arial" w:eastAsia="Arial" w:cs="Arial"/>
          <w:b w:val="0"/>
          <w:bCs w:val="0"/>
          <w:sz w:val="24"/>
          <w:szCs w:val="24"/>
        </w:rPr>
        <w:t>safe() 函数：将所有中间真值钳制到 (EPS, 1-EPS)，EPS=1e-7，防止 log(0)=-∞ 和精确 0 梯度消失</w:t>
      </w:r>
    </w:p>
    <w:p w14:paraId="5F27ED18">
      <w:pPr>
        <w:pStyle w:val="16"/>
        <w:numPr>
          <w:ilvl w:val="0"/>
          <w:numId w:val="1"/>
        </w:numPr>
        <w:spacing w:before="40" w:after="40"/>
        <w:rPr>
          <w:b w:val="0"/>
          <w:bCs w:val="0"/>
          <w:sz w:val="24"/>
          <w:szCs w:val="24"/>
        </w:rPr>
      </w:pPr>
      <w:r>
        <w:rPr>
          <w:rFonts w:ascii="Arial" w:hAnsi="Arial" w:eastAsia="Arial" w:cs="Arial"/>
          <w:b w:val="0"/>
          <w:bCs w:val="0"/>
          <w:sz w:val="24"/>
          <w:szCs w:val="24"/>
        </w:rPr>
        <w:t>梯度裁剪：clip_grad_norm_(params, max_norm=1.0) 防止模糊逻辑连乘后的梯度爆炸</w:t>
      </w:r>
    </w:p>
    <w:p w14:paraId="4D298F1B">
      <w:pPr>
        <w:pStyle w:val="16"/>
        <w:numPr>
          <w:ilvl w:val="0"/>
          <w:numId w:val="1"/>
        </w:numPr>
        <w:spacing w:before="40" w:after="40"/>
        <w:rPr>
          <w:b w:val="0"/>
          <w:bCs w:val="0"/>
          <w:sz w:val="24"/>
          <w:szCs w:val="24"/>
        </w:rPr>
      </w:pPr>
      <w:r>
        <w:rPr>
          <w:rFonts w:ascii="Arial" w:hAnsi="Arial" w:eastAsia="Arial" w:cs="Arial"/>
          <w:b w:val="0"/>
          <w:bCs w:val="0"/>
          <w:sz w:val="24"/>
          <w:szCs w:val="24"/>
        </w:rPr>
        <w:t>NaN 检测跳批：训练循环中检测 torch.isnan(loss)，跳过数值异常的批次</w:t>
      </w:r>
    </w:p>
    <w:p w14:paraId="73C07CF0">
      <w:pPr>
        <w:pStyle w:val="16"/>
        <w:numPr>
          <w:ilvl w:val="0"/>
          <w:numId w:val="1"/>
        </w:numPr>
        <w:spacing w:before="40" w:after="40"/>
        <w:rPr>
          <w:b w:val="0"/>
          <w:bCs w:val="0"/>
          <w:sz w:val="24"/>
          <w:szCs w:val="24"/>
        </w:rPr>
      </w:pPr>
      <w:r>
        <w:rPr>
          <w:rFonts w:ascii="Arial" w:hAnsi="Arial" w:eastAsia="Arial" w:cs="Arial"/>
          <w:b w:val="0"/>
          <w:bCs w:val="0"/>
          <w:sz w:val="24"/>
          <w:szCs w:val="24"/>
        </w:rPr>
        <w:t>clamp 操作：pMean 中间值 comp.pow(p).mean().clamp(min=EPS) 防止零值传播</w:t>
      </w:r>
    </w:p>
    <w:p w14:paraId="33CD1E14">
      <w:pPr>
        <w:spacing w:before="40" w:after="40"/>
        <w:rPr>
          <w:b w:val="0"/>
          <w:bCs w:val="0"/>
          <w:sz w:val="24"/>
          <w:szCs w:val="24"/>
        </w:rPr>
      </w:pPr>
    </w:p>
    <w:p w14:paraId="583B7552">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4.4.3 优化器与调度策略</w:t>
      </w:r>
    </w:p>
    <w:p w14:paraId="55683434">
      <w:pPr>
        <w:spacing w:before="60" w:after="100"/>
        <w:jc w:val="both"/>
        <w:rPr>
          <w:b w:val="0"/>
          <w:bCs w:val="0"/>
          <w:sz w:val="24"/>
          <w:szCs w:val="24"/>
        </w:rPr>
      </w:pPr>
      <w:r>
        <w:rPr>
          <w:rFonts w:ascii="Arial" w:hAnsi="Arial" w:eastAsia="Arial" w:cs="Arial"/>
          <w:b w:val="0"/>
          <w:bCs w:val="0"/>
          <w:sz w:val="24"/>
          <w:szCs w:val="24"/>
        </w:rPr>
        <w:t>使用 AdamW + OneCycleLR 组合：</w:t>
      </w:r>
    </w:p>
    <w:p w14:paraId="11DDE442">
      <w:pPr>
        <w:pStyle w:val="16"/>
        <w:numPr>
          <w:ilvl w:val="0"/>
          <w:numId w:val="1"/>
        </w:numPr>
        <w:spacing w:before="40" w:after="40"/>
        <w:rPr>
          <w:b w:val="0"/>
          <w:bCs w:val="0"/>
          <w:sz w:val="24"/>
          <w:szCs w:val="24"/>
        </w:rPr>
      </w:pPr>
      <w:r>
        <w:rPr>
          <w:rFonts w:ascii="Arial" w:hAnsi="Arial" w:eastAsia="Arial" w:cs="Arial"/>
          <w:b w:val="0"/>
          <w:bCs w:val="0"/>
          <w:sz w:val="24"/>
          <w:szCs w:val="24"/>
        </w:rPr>
        <w:t>AdamW 相比 Adam 引入权重衰减（weight_decay=1e-4），具有更好的正则化效果</w:t>
      </w:r>
    </w:p>
    <w:p w14:paraId="0CA9E421">
      <w:pPr>
        <w:pStyle w:val="16"/>
        <w:numPr>
          <w:ilvl w:val="0"/>
          <w:numId w:val="1"/>
        </w:numPr>
        <w:spacing w:before="40" w:after="40"/>
        <w:rPr>
          <w:b w:val="0"/>
          <w:bCs w:val="0"/>
          <w:sz w:val="24"/>
          <w:szCs w:val="24"/>
        </w:rPr>
      </w:pPr>
      <w:r>
        <w:rPr>
          <w:rFonts w:ascii="Arial" w:hAnsi="Arial" w:eastAsia="Arial" w:cs="Arial"/>
          <w:b w:val="0"/>
          <w:bCs w:val="0"/>
          <w:sz w:val="24"/>
          <w:szCs w:val="24"/>
        </w:rPr>
        <w:t>OneCycleLR 学习率先升（预热）后降（退火），有助于跳出平坦局部极值，尤其对混合损失的多目标优化有利</w:t>
      </w:r>
    </w:p>
    <w:p w14:paraId="3AB3394B">
      <w:pPr>
        <w:spacing w:before="40" w:after="40"/>
        <w:rPr>
          <w:b w:val="0"/>
          <w:bCs w:val="0"/>
        </w:rPr>
      </w:pPr>
    </w:p>
    <w:p w14:paraId="03815C14">
      <w:pPr>
        <w:pStyle w:val="4"/>
        <w:bidi w:val="0"/>
      </w:pPr>
      <w:r>
        <w:t>4.5 改进五：动态阈值评估（Youden 指数）</w:t>
      </w:r>
    </w:p>
    <w:p w14:paraId="17000E5B">
      <w:pPr>
        <w:pStyle w:val="4"/>
        <w:spacing w:before="180" w:after="80"/>
        <w:rPr>
          <w:b w:val="0"/>
          <w:bCs w:val="0"/>
          <w:sz w:val="24"/>
          <w:szCs w:val="24"/>
        </w:rPr>
      </w:pPr>
      <w:r>
        <w:rPr>
          <w:rFonts w:ascii="Arial" w:hAnsi="Arial" w:eastAsia="Arial" w:cs="Arial"/>
          <w:b w:val="0"/>
          <w:bCs w:val="0"/>
          <w:color w:val="2E4057"/>
          <w:sz w:val="24"/>
          <w:szCs w:val="24"/>
        </w:rPr>
        <w:t xml:space="preserve">4.5.1 </w:t>
      </w:r>
      <w:r>
        <w:rPr>
          <w:rFonts w:ascii="Arial" w:hAnsi="Arial" w:eastAsia="Arial" w:cs="Arial"/>
          <w:b w:val="0"/>
          <w:bCs w:val="0"/>
          <w:color w:val="000000" w:themeColor="text1"/>
          <w:sz w:val="24"/>
          <w:szCs w:val="24"/>
          <w14:textFill>
            <w14:solidFill>
              <w14:schemeClr w14:val="tx1"/>
            </w14:solidFill>
          </w14:textFill>
        </w:rPr>
        <w:t>原论文方法与其局限</w:t>
      </w:r>
    </w:p>
    <w:p w14:paraId="5778DDAA">
      <w:pPr>
        <w:spacing w:before="60" w:after="100"/>
        <w:ind w:firstLine="480" w:firstLineChars="200"/>
        <w:jc w:val="both"/>
        <w:rPr>
          <w:b w:val="0"/>
          <w:bCs w:val="0"/>
          <w:sz w:val="24"/>
          <w:szCs w:val="24"/>
        </w:rPr>
      </w:pPr>
      <w:r>
        <w:rPr>
          <w:rFonts w:ascii="Arial" w:hAnsi="Arial" w:eastAsia="Arial" w:cs="Arial"/>
          <w:b w:val="0"/>
          <w:bCs w:val="0"/>
          <w:sz w:val="24"/>
          <w:szCs w:val="24"/>
        </w:rPr>
        <w:t>原论文使用固定 0.5 阈值（真值 &gt; 0.5 判为正例），这在正例率差异极大的多标签场景下不适用：正例率 0.5% 的 commut 谓词在固定 0.5 阈值下几乎不可能预测到任何正例。</w:t>
      </w:r>
    </w:p>
    <w:p w14:paraId="7D4FADEE">
      <w:pPr>
        <w:spacing w:before="40" w:after="40"/>
        <w:rPr>
          <w:b w:val="0"/>
          <w:bCs w:val="0"/>
          <w:sz w:val="24"/>
          <w:szCs w:val="24"/>
        </w:rPr>
      </w:pPr>
    </w:p>
    <w:p w14:paraId="4CA884DD">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4.5.2 改进方案：ROC 最优阈值</w:t>
      </w:r>
    </w:p>
    <w:p w14:paraId="79A9C3AA">
      <w:pPr>
        <w:spacing w:before="60" w:after="100"/>
        <w:ind w:firstLine="480" w:firstLineChars="200"/>
        <w:jc w:val="both"/>
        <w:rPr>
          <w:b w:val="0"/>
          <w:bCs w:val="0"/>
          <w:sz w:val="24"/>
          <w:szCs w:val="24"/>
        </w:rPr>
      </w:pPr>
      <w:r>
        <w:rPr>
          <w:rFonts w:ascii="Arial" w:hAnsi="Arial" w:eastAsia="Arial" w:cs="Arial"/>
          <w:b w:val="0"/>
          <w:bCs w:val="0"/>
          <w:sz w:val="24"/>
          <w:szCs w:val="24"/>
        </w:rPr>
        <w:t>本实验对每个谓词独立确定最优分类阈值，通过最大化 Youden 指数（J 统计量）实现：</w:t>
      </w:r>
    </w:p>
    <w:p w14:paraId="1DCF121A">
      <w:pPr>
        <w:spacing w:before="40" w:after="40"/>
        <w:rPr>
          <w:b w:val="0"/>
          <w:bCs w:val="0"/>
          <w:sz w:val="24"/>
          <w:szCs w:val="24"/>
        </w:rPr>
      </w:pPr>
    </w:p>
    <w:p w14:paraId="01552093">
      <w:pPr>
        <w:spacing w:before="100" w:after="100"/>
        <w:jc w:val="center"/>
        <w:rPr>
          <w:b w:val="0"/>
          <w:bCs w:val="0"/>
          <w:sz w:val="24"/>
          <w:szCs w:val="24"/>
        </w:rPr>
      </w:pPr>
      <m:oMathPara>
        <m:oMath>
          <m:r>
            <m:rPr/>
            <w:rPr>
              <w:rFonts w:ascii="Cambria Math" w:hAnsi="Cambria Math"/>
              <w:sz w:val="24"/>
              <w:szCs w:val="24"/>
            </w:rPr>
            <m:t>J(t)  =  TPR(t)  −  FPR(t)  =  Sensitivity(t)  −  (1 − Specificity(t))</m:t>
          </m:r>
        </m:oMath>
      </m:oMathPara>
    </w:p>
    <w:p w14:paraId="199D2984">
      <w:pPr>
        <w:spacing w:before="100" w:after="100"/>
        <w:jc w:val="center"/>
        <w:rPr>
          <w:b w:val="0"/>
          <w:bCs w:val="0"/>
          <w:sz w:val="24"/>
          <w:szCs w:val="24"/>
        </w:rPr>
      </w:pPr>
      <m:oMathPara>
        <m:oMath>
          <m:sSub>
            <m:sSubPr>
              <m:ctrlPr>
                <w:rPr>
                  <w:rFonts w:ascii="Cambria Math" w:hAnsi="Cambria Math"/>
                  <w:b w:val="0"/>
                  <w:bCs w:val="0"/>
                  <w:sz w:val="24"/>
                  <w:szCs w:val="24"/>
                </w:rPr>
              </m:ctrlPr>
            </m:sSubPr>
            <m:e>
              <m:r>
                <m:rPr/>
                <w:rPr>
                  <w:rFonts w:ascii="Cambria Math" w:hAnsi="Cambria Math"/>
                  <w:sz w:val="24"/>
                  <w:szCs w:val="24"/>
                </w:rPr>
                <m:t>t∗</m:t>
              </m:r>
              <m:ctrlPr>
                <w:rPr>
                  <w:rFonts w:ascii="Cambria Math" w:hAnsi="Cambria Math"/>
                  <w:b w:val="0"/>
                  <w:bCs w:val="0"/>
                  <w:sz w:val="24"/>
                  <w:szCs w:val="24"/>
                </w:rPr>
              </m:ctrlPr>
            </m:e>
            <m:sub>
              <m:r>
                <m:rPr/>
                <w:rPr>
                  <w:rFonts w:ascii="Cambria Math" w:hAnsi="Cambria Math"/>
                  <w:sz w:val="24"/>
                  <w:szCs w:val="24"/>
                </w:rPr>
                <m:t>k</m:t>
              </m:r>
              <m:ctrlPr>
                <w:rPr>
                  <w:rFonts w:ascii="Cambria Math" w:hAnsi="Cambria Math"/>
                  <w:b w:val="0"/>
                  <w:bCs w:val="0"/>
                  <w:sz w:val="24"/>
                  <w:szCs w:val="24"/>
                </w:rPr>
              </m:ctrlPr>
            </m:sub>
          </m:sSub>
          <m:r>
            <m:rPr/>
            <w:rPr>
              <w:rFonts w:ascii="Cambria Math" w:hAnsi="Cambria Math"/>
              <w:sz w:val="24"/>
              <w:szCs w:val="24"/>
            </w:rPr>
            <m:t xml:space="preserve">=  </m:t>
          </m:r>
          <m:sSub>
            <m:sSubPr>
              <m:ctrlPr>
                <w:rPr>
                  <w:rFonts w:ascii="Cambria Math" w:hAnsi="Cambria Math"/>
                  <w:b w:val="0"/>
                  <w:bCs w:val="0"/>
                  <w:sz w:val="24"/>
                  <w:szCs w:val="24"/>
                </w:rPr>
              </m:ctrlPr>
            </m:sSubPr>
            <m:e>
              <m:r>
                <m:rPr/>
                <w:rPr>
                  <w:rFonts w:ascii="Cambria Math" w:hAnsi="Cambria Math"/>
                  <w:sz w:val="24"/>
                  <w:szCs w:val="24"/>
                </w:rPr>
                <m:t>argmax</m:t>
              </m:r>
              <m:ctrlPr>
                <w:rPr>
                  <w:rFonts w:ascii="Cambria Math" w:hAnsi="Cambria Math"/>
                  <w:b w:val="0"/>
                  <w:bCs w:val="0"/>
                  <w:sz w:val="24"/>
                  <w:szCs w:val="24"/>
                </w:rPr>
              </m:ctrlPr>
            </m:e>
            <m:sub>
              <m:r>
                <m:rPr/>
                <w:rPr>
                  <w:rFonts w:ascii="Cambria Math" w:hAnsi="Cambria Math"/>
                  <w:sz w:val="24"/>
                  <w:szCs w:val="24"/>
                </w:rPr>
                <m:t>t</m:t>
              </m:r>
              <m:ctrlPr>
                <w:rPr>
                  <w:rFonts w:ascii="Cambria Math" w:hAnsi="Cambria Math"/>
                  <w:b w:val="0"/>
                  <w:bCs w:val="0"/>
                  <w:sz w:val="24"/>
                  <w:szCs w:val="24"/>
                </w:rPr>
              </m:ctrlPr>
            </m:sub>
          </m:sSub>
          <m:r>
            <m:rPr/>
            <w:rPr>
              <w:rFonts w:ascii="Cambria Math" w:hAnsi="Cambria Math"/>
              <w:sz w:val="24"/>
              <w:szCs w:val="24"/>
            </w:rPr>
            <m:t xml:space="preserve">J_k(t)      </m:t>
          </m:r>
        </m:oMath>
      </m:oMathPara>
    </w:p>
    <w:p w14:paraId="6604FD1C">
      <w:pPr>
        <w:spacing w:before="60" w:after="100"/>
        <w:ind w:firstLine="480" w:firstLineChars="200"/>
        <w:jc w:val="both"/>
        <w:rPr>
          <w:b w:val="0"/>
          <w:bCs w:val="0"/>
          <w:sz w:val="24"/>
          <w:szCs w:val="24"/>
        </w:rPr>
      </w:pPr>
      <w:r>
        <w:rPr>
          <w:rFonts w:ascii="Arial" w:hAnsi="Arial" w:eastAsia="Arial" w:cs="Arial"/>
          <w:b w:val="0"/>
          <w:bCs w:val="0"/>
          <w:sz w:val="24"/>
          <w:szCs w:val="24"/>
        </w:rPr>
        <w:t>Youden 指数等价于 ROC 曲线上距随机分类器对角线垂直距离最大的点，在 Sensitivity 和 Specificity 之间取得最优平衡。AUC 作为阈值无关指标同步计算，反映模型的排序能力。</w:t>
      </w:r>
    </w:p>
    <w:p w14:paraId="73840E63">
      <w:pPr>
        <w:spacing w:before="40" w:after="40"/>
        <w:rPr>
          <w:b w:val="0"/>
          <w:bCs w:val="0"/>
        </w:rPr>
      </w:pPr>
    </w:p>
    <w:p w14:paraId="6AA0B48F">
      <w:pPr>
        <w:pStyle w:val="3"/>
        <w:bidi w:val="0"/>
      </w:pPr>
      <w:r>
        <w:t>第 5 章  主要计算方法</w:t>
      </w:r>
    </w:p>
    <w:p w14:paraId="09533CA5">
      <w:pPr>
        <w:pStyle w:val="4"/>
        <w:bidi w:val="0"/>
      </w:pPr>
      <w:r>
        <w:t>5.1 LTN Grounding 完整计算流程（以 R1 为例）</w:t>
      </w:r>
    </w:p>
    <w:p w14:paraId="63CE583A">
      <w:pPr>
        <w:spacing w:before="60" w:after="100"/>
        <w:ind w:firstLine="480" w:firstLineChars="200"/>
        <w:jc w:val="both"/>
        <w:rPr>
          <w:b w:val="0"/>
          <w:bCs w:val="0"/>
          <w:sz w:val="24"/>
          <w:szCs w:val="24"/>
        </w:rPr>
      </w:pPr>
      <w:r>
        <w:rPr>
          <w:rFonts w:ascii="Arial" w:hAnsi="Arial" w:eastAsia="Arial" w:cs="Arial"/>
          <w:b w:val="0"/>
          <w:bCs w:val="0"/>
          <w:sz w:val="24"/>
          <w:szCs w:val="24"/>
        </w:rPr>
        <w:t>以规则 R1（∀x Empty(x) ⇒ ¬Theorem(x)）为例，说明 LTN 对一个批次（128 条公理）的完整计算步骤：</w:t>
      </w:r>
    </w:p>
    <w:p w14:paraId="235B6405">
      <w:pPr>
        <w:spacing w:before="40" w:after="40"/>
        <w:rPr>
          <w:b w:val="0"/>
          <w:bCs w:val="0"/>
          <w:sz w:val="24"/>
          <w:szCs w:val="24"/>
        </w:rPr>
      </w:pPr>
    </w:p>
    <w:p w14:paraId="23E182D5">
      <w:pPr>
        <w:spacing w:before="60" w:after="100"/>
        <w:jc w:val="both"/>
        <w:rPr>
          <w:b w:val="0"/>
          <w:bCs w:val="0"/>
          <w:sz w:val="24"/>
          <w:szCs w:val="24"/>
        </w:rPr>
      </w:pPr>
      <w:r>
        <w:rPr>
          <w:rFonts w:ascii="Arial" w:hAnsi="Arial" w:eastAsia="Arial" w:cs="Arial"/>
          <w:b w:val="0"/>
          <w:bCs w:val="0"/>
          <w:sz w:val="24"/>
          <w:szCs w:val="24"/>
        </w:rPr>
        <w:t>Step 1 — 变量 Grounding： 构造 LTNVariable，值为批次特征张量 G(x) = X_batch ∈ R</w:t>
      </w:r>
      <w:r>
        <w:rPr>
          <w:rFonts w:ascii="Arial" w:hAnsi="Arial" w:eastAsia="Arial" w:cs="Arial"/>
          <w:b w:val="0"/>
          <w:bCs w:val="0"/>
          <w:sz w:val="24"/>
          <w:szCs w:val="24"/>
          <w:vertAlign w:val="superscript"/>
        </w:rPr>
        <w:t>{128×300}</w:t>
      </w:r>
      <w:r>
        <w:rPr>
          <w:rFonts w:ascii="Arial" w:hAnsi="Arial" w:eastAsia="Arial" w:cs="Arial"/>
          <w:b w:val="0"/>
          <w:bCs w:val="0"/>
          <w:sz w:val="24"/>
          <w:szCs w:val="24"/>
        </w:rPr>
        <w:t>。</w:t>
      </w:r>
    </w:p>
    <w:p w14:paraId="34202EBF">
      <w:pPr>
        <w:spacing w:before="60" w:after="100"/>
        <w:jc w:val="both"/>
        <w:rPr>
          <w:b w:val="0"/>
          <w:bCs w:val="0"/>
          <w:sz w:val="24"/>
          <w:szCs w:val="24"/>
        </w:rPr>
      </w:pPr>
      <w:r>
        <w:rPr>
          <w:rFonts w:ascii="Arial" w:hAnsi="Arial" w:eastAsia="Arial" w:cs="Arial"/>
          <w:b w:val="0"/>
          <w:bCs w:val="0"/>
          <w:sz w:val="24"/>
          <w:szCs w:val="24"/>
        </w:rPr>
        <w:t>Step 2 — 谓词 Grounding： 两个网络分别输出：G(Empty|θ)(x) ∈ (ε,1-ε)</w:t>
      </w:r>
      <w:r>
        <w:rPr>
          <w:rFonts w:ascii="Arial" w:hAnsi="Arial" w:eastAsia="Arial" w:cs="Arial"/>
          <w:b w:val="0"/>
          <w:bCs w:val="0"/>
          <w:sz w:val="24"/>
          <w:szCs w:val="24"/>
          <w:vertAlign w:val="superscript"/>
        </w:rPr>
        <w:t>128</w:t>
      </w:r>
      <w:r>
        <w:rPr>
          <w:rFonts w:ascii="Arial" w:hAnsi="Arial" w:eastAsia="Arial" w:cs="Arial"/>
          <w:b w:val="0"/>
          <w:bCs w:val="0"/>
          <w:sz w:val="24"/>
          <w:szCs w:val="24"/>
        </w:rPr>
        <w:t xml:space="preserve"> 和 G(Theorem|θ)(x) ∈ (ε,1-ε)</w:t>
      </w:r>
      <w:r>
        <w:rPr>
          <w:rFonts w:ascii="Arial" w:hAnsi="Arial" w:eastAsia="Arial" w:cs="Arial"/>
          <w:b w:val="0"/>
          <w:bCs w:val="0"/>
          <w:sz w:val="24"/>
          <w:szCs w:val="24"/>
          <w:vertAlign w:val="superscript"/>
        </w:rPr>
        <w:t>128</w:t>
      </w:r>
      <w:r>
        <w:rPr>
          <w:rFonts w:ascii="Arial" w:hAnsi="Arial" w:eastAsia="Arial" w:cs="Arial"/>
          <w:b w:val="0"/>
          <w:bCs w:val="0"/>
          <w:sz w:val="24"/>
          <w:szCs w:val="24"/>
        </w:rPr>
        <w:t>。</w:t>
      </w:r>
    </w:p>
    <w:p w14:paraId="34937EE2">
      <w:pPr>
        <w:spacing w:before="60" w:after="100"/>
        <w:jc w:val="both"/>
        <w:rPr>
          <w:b w:val="0"/>
          <w:bCs w:val="0"/>
          <w:sz w:val="24"/>
          <w:szCs w:val="24"/>
        </w:rPr>
      </w:pPr>
      <w:r>
        <w:rPr>
          <w:rFonts w:ascii="Arial" w:hAnsi="Arial" w:eastAsia="Arial" w:cs="Arial"/>
          <w:b w:val="0"/>
          <w:bCs w:val="0"/>
          <w:sz w:val="24"/>
          <w:szCs w:val="24"/>
        </w:rPr>
        <w:t>Step 3 — 否定算子： G(¬Theorem)(x) = 1 − G(Theorem)(x)，逐元素计算。</w:t>
      </w:r>
    </w:p>
    <w:p w14:paraId="6EED9BDF">
      <w:pPr>
        <w:spacing w:before="60" w:after="100"/>
        <w:jc w:val="both"/>
        <w:rPr>
          <w:b w:val="0"/>
          <w:bCs w:val="0"/>
          <w:sz w:val="24"/>
          <w:szCs w:val="24"/>
        </w:rPr>
      </w:pPr>
      <w:r>
        <w:rPr>
          <w:rFonts w:ascii="Arial" w:hAnsi="Arial" w:eastAsia="Arial" w:cs="Arial"/>
          <w:b w:val="0"/>
          <w:bCs w:val="0"/>
          <w:sz w:val="24"/>
          <w:szCs w:val="24"/>
        </w:rPr>
        <w:t>Step 4 — 蕴含算子（Product 语义）： 逐元素计算含义真值向量：</w:t>
      </w:r>
    </w:p>
    <w:p w14:paraId="0C0E22FE">
      <w:pPr>
        <w:spacing w:before="40" w:after="40"/>
        <w:rPr>
          <w:b w:val="0"/>
          <w:bCs w:val="0"/>
          <w:sz w:val="24"/>
          <w:szCs w:val="24"/>
        </w:rPr>
      </w:pPr>
    </w:p>
    <w:p w14:paraId="7CC3EE2E">
      <w:pPr>
        <w:spacing w:before="100" w:after="100"/>
        <w:jc w:val="center"/>
        <w:rPr>
          <w:b w:val="0"/>
          <w:bCs w:val="0"/>
          <w:sz w:val="24"/>
          <w:szCs w:val="24"/>
        </w:rPr>
      </w:pPr>
      <m:oMathPara>
        <m:oMath>
          <m:r>
            <m:rPr/>
            <w:rPr>
              <w:rFonts w:ascii="Cambria Math" w:hAnsi="Cambria Math"/>
              <w:sz w:val="22"/>
              <w:szCs w:val="22"/>
            </w:rPr>
            <m:t>G(R₁)(x)  =  1  −  G(Empty)(x)  +  G(Empty)(x) · G(¬Theorem)(x)   ∈  (ε,1−ε)^{128}</m:t>
          </m:r>
        </m:oMath>
      </m:oMathPara>
    </w:p>
    <w:p w14:paraId="46BA3BFA">
      <w:pPr>
        <w:spacing w:before="40" w:after="40"/>
        <w:rPr>
          <w:b w:val="0"/>
          <w:bCs w:val="0"/>
          <w:sz w:val="24"/>
          <w:szCs w:val="24"/>
        </w:rPr>
      </w:pPr>
    </w:p>
    <w:p w14:paraId="4860F9CC">
      <w:pPr>
        <w:spacing w:before="60" w:after="100"/>
        <w:jc w:val="both"/>
        <w:rPr>
          <w:b w:val="0"/>
          <w:bCs w:val="0"/>
          <w:sz w:val="24"/>
          <w:szCs w:val="24"/>
        </w:rPr>
      </w:pPr>
      <w:r>
        <w:rPr>
          <w:rFonts w:ascii="Arial" w:hAnsi="Arial" w:eastAsia="Arial" w:cs="Arial"/>
          <w:b w:val="0"/>
          <w:bCs w:val="0"/>
          <w:sz w:val="24"/>
          <w:szCs w:val="24"/>
        </w:rPr>
        <w:t>Step 5 — 全称量词聚合（pMean-Error，p=2）： 沿批次维度将 128 个真值聚合为单一满足度标量：</w:t>
      </w:r>
    </w:p>
    <w:p w14:paraId="6DB649AB">
      <w:pPr>
        <w:spacing w:before="100" w:after="100"/>
        <w:jc w:val="center"/>
        <w:rPr>
          <w:b w:val="0"/>
          <w:bCs w:val="0"/>
          <w:sz w:val="24"/>
          <w:szCs w:val="24"/>
        </w:rPr>
      </w:pPr>
      <m:oMathPara>
        <m:oMath>
          <m:r>
            <m:rPr/>
            <w:rPr>
              <w:rFonts w:ascii="Cambria Math" w:hAnsi="Cambria Math"/>
              <w:sz w:val="24"/>
              <w:szCs w:val="24"/>
            </w:rPr>
            <m:t xml:space="preserve">sat(R₁)  =  </m:t>
          </m:r>
          <m:sSup>
            <m:sSupPr>
              <m:ctrlPr>
                <w:rPr>
                  <w:rFonts w:ascii="Cambria Math" w:hAnsi="Cambria Math"/>
                  <w:b w:val="0"/>
                  <w:bCs w:val="0"/>
                  <w:sz w:val="24"/>
                  <w:szCs w:val="24"/>
                </w:rPr>
              </m:ctrlPr>
            </m:sSupPr>
            <m:e>
              <m:r>
                <m:rPr/>
                <w:rPr>
                  <w:rFonts w:ascii="Cambria Math" w:hAnsi="Cambria Math"/>
                  <w:sz w:val="24"/>
                  <w:szCs w:val="24"/>
                </w:rPr>
                <m:t>1  −</m:t>
              </m:r>
              <m:d>
                <m:dPr>
                  <m:ctrlPr>
                    <w:rPr>
                      <w:rFonts w:ascii="Cambria Math" w:hAnsi="Cambria Math"/>
                      <w:b w:val="0"/>
                      <w:bCs w:val="0"/>
                      <w:sz w:val="24"/>
                      <w:szCs w:val="24"/>
                    </w:rPr>
                  </m:ctrlPr>
                </m:dPr>
                <m:e>
                  <m:f>
                    <m:fPr>
                      <m:ctrlPr>
                        <w:rPr>
                          <w:rFonts w:ascii="Cambria Math" w:hAnsi="Cambria Math"/>
                          <w:b w:val="0"/>
                          <w:bCs w:val="0"/>
                          <w:sz w:val="24"/>
                          <w:szCs w:val="24"/>
                        </w:rPr>
                      </m:ctrlPr>
                    </m:fPr>
                    <m:num>
                      <m:nary>
                        <m:naryPr>
                          <m:chr m:val="∑"/>
                          <m:limLoc m:val="undOvr"/>
                          <m:ctrlPr>
                            <w:rPr>
                              <w:rFonts w:ascii="Cambria Math" w:hAnsi="Cambria Math"/>
                              <w:b w:val="0"/>
                              <w:bCs w:val="0"/>
                              <w:sz w:val="24"/>
                              <w:szCs w:val="24"/>
                            </w:rPr>
                          </m:ctrlPr>
                        </m:naryPr>
                        <m:sub>
                          <m:r>
                            <m:rPr/>
                            <w:rPr>
                              <w:rFonts w:ascii="Cambria Math" w:hAnsi="Cambria Math"/>
                              <w:sz w:val="24"/>
                              <w:szCs w:val="24"/>
                            </w:rPr>
                            <m:t>i=1</m:t>
                          </m:r>
                          <m:ctrlPr>
                            <w:rPr>
                              <w:rFonts w:ascii="Cambria Math" w:hAnsi="Cambria Math"/>
                              <w:b w:val="0"/>
                              <w:bCs w:val="0"/>
                              <w:sz w:val="24"/>
                              <w:szCs w:val="24"/>
                            </w:rPr>
                          </m:ctrlPr>
                        </m:sub>
                        <m:sup>
                          <m:r>
                            <m:rPr/>
                            <w:rPr>
                              <w:rFonts w:ascii="Cambria Math" w:hAnsi="Cambria Math"/>
                              <w:sz w:val="24"/>
                              <w:szCs w:val="24"/>
                            </w:rPr>
                            <m:t>128</m:t>
                          </m:r>
                          <m:ctrlPr>
                            <w:rPr>
                              <w:rFonts w:ascii="Cambria Math" w:hAnsi="Cambria Math"/>
                              <w:b w:val="0"/>
                              <w:bCs w:val="0"/>
                              <w:sz w:val="24"/>
                              <w:szCs w:val="24"/>
                            </w:rPr>
                          </m:ctrlPr>
                        </m:sup>
                        <m:e>
                          <m:sSup>
                            <m:sSupPr>
                              <m:ctrlPr>
                                <w:rPr>
                                  <w:rFonts w:ascii="Cambria Math" w:hAnsi="Cambria Math"/>
                                  <w:b w:val="0"/>
                                  <w:bCs w:val="0"/>
                                  <w:sz w:val="24"/>
                                  <w:szCs w:val="24"/>
                                </w:rPr>
                              </m:ctrlPr>
                            </m:sSupPr>
                            <m:e>
                              <m:r>
                                <m:rPr/>
                                <w:rPr>
                                  <w:rFonts w:ascii="Cambria Math" w:hAnsi="Cambria Math"/>
                                  <w:sz w:val="24"/>
                                  <w:szCs w:val="24"/>
                                </w:rPr>
                                <m:t>(1−G(R₁)(xᵢ))</m:t>
                              </m:r>
                              <m:ctrlPr>
                                <w:rPr>
                                  <w:rFonts w:ascii="Cambria Math" w:hAnsi="Cambria Math"/>
                                  <w:b w:val="0"/>
                                  <w:bCs w:val="0"/>
                                  <w:sz w:val="24"/>
                                  <w:szCs w:val="24"/>
                                </w:rPr>
                              </m:ctrlPr>
                            </m:e>
                            <m:sup>
                              <m:r>
                                <m:rPr/>
                                <w:rPr>
                                  <w:rFonts w:ascii="Cambria Math" w:hAnsi="Cambria Math"/>
                                  <w:sz w:val="24"/>
                                  <w:szCs w:val="24"/>
                                </w:rPr>
                                <m:t>2</m:t>
                              </m:r>
                              <m:ctrlPr>
                                <w:rPr>
                                  <w:rFonts w:ascii="Cambria Math" w:hAnsi="Cambria Math"/>
                                  <w:b w:val="0"/>
                                  <w:bCs w:val="0"/>
                                  <w:sz w:val="24"/>
                                  <w:szCs w:val="24"/>
                                </w:rPr>
                              </m:ctrlPr>
                            </m:sup>
                          </m:sSup>
                          <m:ctrlPr>
                            <w:rPr>
                              <w:rFonts w:ascii="Cambria Math" w:hAnsi="Cambria Math"/>
                              <w:b w:val="0"/>
                              <w:bCs w:val="0"/>
                              <w:sz w:val="24"/>
                              <w:szCs w:val="24"/>
                            </w:rPr>
                          </m:ctrlPr>
                        </m:e>
                      </m:nary>
                      <m:ctrlPr>
                        <w:rPr>
                          <w:rFonts w:ascii="Cambria Math" w:hAnsi="Cambria Math"/>
                          <w:b w:val="0"/>
                          <w:bCs w:val="0"/>
                          <w:sz w:val="24"/>
                          <w:szCs w:val="24"/>
                        </w:rPr>
                      </m:ctrlPr>
                    </m:num>
                    <m:den>
                      <m:r>
                        <m:rPr/>
                        <w:rPr>
                          <w:rFonts w:ascii="Cambria Math" w:hAnsi="Cambria Math"/>
                          <w:sz w:val="24"/>
                          <w:szCs w:val="24"/>
                        </w:rPr>
                        <m:t>128</m:t>
                      </m:r>
                      <m:ctrlPr>
                        <w:rPr>
                          <w:rFonts w:ascii="Cambria Math" w:hAnsi="Cambria Math"/>
                          <w:b w:val="0"/>
                          <w:bCs w:val="0"/>
                          <w:sz w:val="24"/>
                          <w:szCs w:val="24"/>
                        </w:rPr>
                      </m:ctrlPr>
                    </m:den>
                  </m:f>
                  <m:ctrlPr>
                    <w:rPr>
                      <w:rFonts w:ascii="Cambria Math" w:hAnsi="Cambria Math"/>
                      <w:b w:val="0"/>
                      <w:bCs w:val="0"/>
                      <w:sz w:val="24"/>
                      <w:szCs w:val="24"/>
                    </w:rPr>
                  </m:ctrlPr>
                </m:e>
              </m:d>
              <m:ctrlPr>
                <w:rPr>
                  <w:rFonts w:ascii="Cambria Math" w:hAnsi="Cambria Math"/>
                  <w:b w:val="0"/>
                  <w:bCs w:val="0"/>
                  <w:sz w:val="24"/>
                  <w:szCs w:val="24"/>
                </w:rPr>
              </m:ctrlPr>
            </m:e>
            <m:sup>
              <m:f>
                <m:fPr>
                  <m:ctrlPr>
                    <w:rPr>
                      <w:rFonts w:ascii="Cambria Math" w:hAnsi="Cambria Math"/>
                      <w:b w:val="0"/>
                      <w:bCs w:val="0"/>
                      <w:sz w:val="24"/>
                      <w:szCs w:val="24"/>
                    </w:rPr>
                  </m:ctrlPr>
                </m:fPr>
                <m:num>
                  <m:r>
                    <m:rPr/>
                    <w:rPr>
                      <w:rFonts w:ascii="Cambria Math" w:hAnsi="Cambria Math"/>
                      <w:sz w:val="24"/>
                      <w:szCs w:val="24"/>
                    </w:rPr>
                    <m:t>1</m:t>
                  </m:r>
                  <m:ctrlPr>
                    <w:rPr>
                      <w:rFonts w:ascii="Cambria Math" w:hAnsi="Cambria Math"/>
                      <w:b w:val="0"/>
                      <w:bCs w:val="0"/>
                      <w:sz w:val="24"/>
                      <w:szCs w:val="24"/>
                    </w:rPr>
                  </m:ctrlPr>
                </m:num>
                <m:den>
                  <m:r>
                    <m:rPr/>
                    <w:rPr>
                      <w:rFonts w:ascii="Cambria Math" w:hAnsi="Cambria Math"/>
                      <w:sz w:val="24"/>
                      <w:szCs w:val="24"/>
                    </w:rPr>
                    <m:t>2</m:t>
                  </m:r>
                  <m:ctrlPr>
                    <w:rPr>
                      <w:rFonts w:ascii="Cambria Math" w:hAnsi="Cambria Math"/>
                      <w:b w:val="0"/>
                      <w:bCs w:val="0"/>
                      <w:sz w:val="24"/>
                      <w:szCs w:val="24"/>
                    </w:rPr>
                  </m:ctrlPr>
                </m:den>
              </m:f>
              <m:ctrlPr>
                <w:rPr>
                  <w:rFonts w:ascii="Cambria Math" w:hAnsi="Cambria Math"/>
                  <w:b w:val="0"/>
                  <w:bCs w:val="0"/>
                  <w:sz w:val="24"/>
                  <w:szCs w:val="24"/>
                </w:rPr>
              </m:ctrlPr>
            </m:sup>
          </m:sSup>
          <m:r>
            <m:rPr/>
            <w:rPr>
              <w:rFonts w:ascii="Cambria Math" w:hAnsi="Cambria Math"/>
              <w:sz w:val="24"/>
              <w:szCs w:val="24"/>
            </w:rPr>
            <m:t>∈  (ε, 1−ε)</m:t>
          </m:r>
        </m:oMath>
      </m:oMathPara>
    </w:p>
    <w:p w14:paraId="6C8ECB48">
      <w:pPr>
        <w:spacing w:before="40" w:after="40"/>
        <w:rPr>
          <w:b w:val="0"/>
          <w:bCs w:val="0"/>
          <w:sz w:val="24"/>
          <w:szCs w:val="24"/>
        </w:rPr>
      </w:pPr>
    </w:p>
    <w:p w14:paraId="7020A83A">
      <w:pPr>
        <w:spacing w:before="60" w:after="100"/>
        <w:jc w:val="both"/>
        <w:rPr>
          <w:b w:val="0"/>
          <w:bCs w:val="0"/>
          <w:sz w:val="24"/>
          <w:szCs w:val="24"/>
        </w:rPr>
      </w:pPr>
      <w:r>
        <w:rPr>
          <w:rFonts w:ascii="Arial" w:hAnsi="Arial" w:eastAsia="Arial" w:cs="Arial"/>
          <w:b w:val="0"/>
          <w:bCs w:val="0"/>
          <w:sz w:val="24"/>
          <w:szCs w:val="24"/>
        </w:rPr>
        <w:t>Step 6 — 知识库聚合： 5 条规则满足度算术平均：</w:t>
      </w:r>
    </w:p>
    <w:p w14:paraId="3F0A16CA">
      <w:pPr>
        <w:spacing w:before="40" w:after="40"/>
        <w:rPr>
          <w:b w:val="0"/>
          <w:bCs w:val="0"/>
          <w:sz w:val="24"/>
          <w:szCs w:val="24"/>
        </w:rPr>
      </w:pPr>
    </w:p>
    <w:p w14:paraId="078AA29C">
      <w:pPr>
        <w:spacing w:before="100" w:after="100"/>
        <w:jc w:val="center"/>
        <w:rPr>
          <w:b w:val="0"/>
          <w:bCs w:val="0"/>
          <w:sz w:val="24"/>
          <w:szCs w:val="24"/>
        </w:rPr>
      </w:pPr>
      <m:oMathPara>
        <m:oMath>
          <m:r>
            <m:rPr/>
            <w:rPr>
              <w:rFonts w:ascii="Cambria Math" w:hAnsi="Cambria Math"/>
              <w:sz w:val="24"/>
              <w:szCs w:val="24"/>
            </w:rPr>
            <m:t>ltn_sat  =  SatAgg(R₁,R₂,R₃,R₄,R₅)  =</m:t>
          </m:r>
          <m:f>
            <m:fPr>
              <m:ctrlPr>
                <w:rPr>
                  <w:rFonts w:ascii="Cambria Math" w:hAnsi="Cambria Math"/>
                  <w:b w:val="0"/>
                  <w:bCs w:val="0"/>
                  <w:sz w:val="24"/>
                  <w:szCs w:val="24"/>
                </w:rPr>
              </m:ctrlPr>
            </m:fPr>
            <m:num>
              <m:r>
                <m:rPr/>
                <w:rPr>
                  <w:rFonts w:ascii="Cambria Math" w:hAnsi="Cambria Math"/>
                  <w:sz w:val="24"/>
                  <w:szCs w:val="24"/>
                </w:rPr>
                <m:t>R₁ + R₂ + R₃ + R₄ + R₅</m:t>
              </m:r>
              <m:ctrlPr>
                <w:rPr>
                  <w:rFonts w:ascii="Cambria Math" w:hAnsi="Cambria Math"/>
                  <w:b w:val="0"/>
                  <w:bCs w:val="0"/>
                  <w:sz w:val="24"/>
                  <w:szCs w:val="24"/>
                </w:rPr>
              </m:ctrlPr>
            </m:num>
            <m:den>
              <m:r>
                <m:rPr/>
                <w:rPr>
                  <w:rFonts w:ascii="Cambria Math" w:hAnsi="Cambria Math"/>
                  <w:sz w:val="24"/>
                  <w:szCs w:val="24"/>
                </w:rPr>
                <m:t>5</m:t>
              </m:r>
              <m:ctrlPr>
                <w:rPr>
                  <w:rFonts w:ascii="Cambria Math" w:hAnsi="Cambria Math"/>
                  <w:b w:val="0"/>
                  <w:bCs w:val="0"/>
                  <w:sz w:val="24"/>
                  <w:szCs w:val="24"/>
                </w:rPr>
              </m:ctrlPr>
            </m:den>
          </m:f>
        </m:oMath>
      </m:oMathPara>
    </w:p>
    <w:p w14:paraId="1D924C09">
      <w:pPr>
        <w:spacing w:before="40" w:after="40"/>
        <w:rPr>
          <w:b w:val="0"/>
          <w:bCs w:val="0"/>
        </w:rPr>
      </w:pPr>
    </w:p>
    <w:p w14:paraId="172E4744">
      <w:pPr>
        <w:pStyle w:val="4"/>
        <w:bidi w:val="0"/>
      </w:pPr>
      <w:r>
        <w:t>5.2 混合损失的反向传播</w:t>
      </w:r>
    </w:p>
    <w:p w14:paraId="774FAE4F">
      <w:pPr>
        <w:spacing w:before="60" w:after="100"/>
        <w:ind w:firstLine="480" w:firstLineChars="200"/>
        <w:jc w:val="both"/>
        <w:rPr>
          <w:b w:val="0"/>
          <w:bCs w:val="0"/>
          <w:sz w:val="24"/>
          <w:szCs w:val="24"/>
        </w:rPr>
      </w:pPr>
      <w:r>
        <w:rPr>
          <w:rFonts w:ascii="Arial" w:hAnsi="Arial" w:eastAsia="Arial" w:cs="Arial"/>
          <w:b w:val="0"/>
          <w:bCs w:val="0"/>
          <w:sz w:val="24"/>
          <w:szCs w:val="24"/>
        </w:rPr>
        <w:t>混合损失对参数 θ 的梯度由 LTN 规则部分和 BCE 监督部分共同构成：</w:t>
      </w:r>
    </w:p>
    <w:p w14:paraId="4B543F1D">
      <w:pPr>
        <w:spacing w:before="40" w:after="40"/>
        <w:rPr>
          <w:b w:val="0"/>
          <w:bCs w:val="0"/>
          <w:sz w:val="24"/>
          <w:szCs w:val="24"/>
        </w:rPr>
      </w:pPr>
    </w:p>
    <w:p w14:paraId="444473A2">
      <w:pPr>
        <w:spacing w:before="100" w:after="100"/>
        <w:jc w:val="center"/>
        <w:rPr>
          <w:b w:val="0"/>
          <w:bCs w:val="0"/>
          <w:sz w:val="24"/>
          <w:szCs w:val="24"/>
        </w:rPr>
      </w:pPr>
      <m:oMathPara>
        <m:oMath>
          <m:r>
            <m:rPr/>
            <w:rPr>
              <w:rFonts w:ascii="Cambria Math" w:hAnsi="Cambria Math"/>
              <w:sz w:val="24"/>
              <w:szCs w:val="24"/>
            </w:rPr>
            <m:t xml:space="preserve">∂L / ∂θ  =  α · </m:t>
          </m:r>
          <m:sSub>
            <m:sSubPr>
              <m:ctrlPr>
                <w:rPr>
                  <w:rFonts w:ascii="Cambria Math" w:hAnsi="Cambria Math"/>
                  <w:b w:val="0"/>
                  <w:bCs w:val="0"/>
                  <w:sz w:val="24"/>
                  <w:szCs w:val="24"/>
                </w:rPr>
              </m:ctrlPr>
            </m:sSubPr>
            <m:e>
              <m:r>
                <m:rPr/>
                <w:rPr>
                  <w:rFonts w:ascii="Cambria Math" w:hAnsi="Cambria Math"/>
                  <w:sz w:val="24"/>
                  <w:szCs w:val="24"/>
                </w:rPr>
                <m:t>∂L</m:t>
              </m:r>
              <m:ctrlPr>
                <w:rPr>
                  <w:rFonts w:ascii="Cambria Math" w:hAnsi="Cambria Math"/>
                  <w:b w:val="0"/>
                  <w:bCs w:val="0"/>
                  <w:sz w:val="24"/>
                  <w:szCs w:val="24"/>
                </w:rPr>
              </m:ctrlPr>
            </m:e>
            <m:sub>
              <m:r>
                <m:rPr/>
                <w:rPr>
                  <w:rFonts w:ascii="Cambria Math" w:hAnsi="Cambria Math"/>
                  <w:sz w:val="24"/>
                  <w:szCs w:val="24"/>
                </w:rPr>
                <m:t>LTN</m:t>
              </m:r>
              <m:ctrlPr>
                <w:rPr>
                  <w:rFonts w:ascii="Cambria Math" w:hAnsi="Cambria Math"/>
                  <w:b w:val="0"/>
                  <w:bCs w:val="0"/>
                  <w:sz w:val="24"/>
                  <w:szCs w:val="24"/>
                </w:rPr>
              </m:ctrlPr>
            </m:sub>
          </m:sSub>
          <m:r>
            <m:rPr/>
            <w:rPr>
              <w:rFonts w:ascii="Cambria Math" w:hAnsi="Cambria Math"/>
              <w:sz w:val="24"/>
              <w:szCs w:val="24"/>
            </w:rPr>
            <m:t>/ ∂θ  +  (1−α) ·</m:t>
          </m:r>
          <m:sSub>
            <m:sSubPr>
              <m:ctrlPr>
                <w:rPr>
                  <w:rFonts w:ascii="Cambria Math" w:hAnsi="Cambria Math"/>
                  <w:b w:val="0"/>
                  <w:bCs w:val="0"/>
                  <w:sz w:val="24"/>
                  <w:szCs w:val="24"/>
                </w:rPr>
              </m:ctrlPr>
            </m:sSubPr>
            <m:e>
              <m:r>
                <m:rPr/>
                <w:rPr>
                  <w:rFonts w:ascii="Cambria Math" w:hAnsi="Cambria Math"/>
                  <w:sz w:val="24"/>
                  <w:szCs w:val="24"/>
                </w:rPr>
                <m:t xml:space="preserve"> ∂L</m:t>
              </m:r>
              <m:ctrlPr>
                <w:rPr>
                  <w:rFonts w:ascii="Cambria Math" w:hAnsi="Cambria Math"/>
                  <w:b w:val="0"/>
                  <w:bCs w:val="0"/>
                  <w:sz w:val="24"/>
                  <w:szCs w:val="24"/>
                </w:rPr>
              </m:ctrlPr>
            </m:e>
            <m:sub>
              <m:r>
                <m:rPr/>
                <w:rPr>
                  <w:rFonts w:ascii="Cambria Math" w:hAnsi="Cambria Math"/>
                  <w:sz w:val="24"/>
                  <w:szCs w:val="24"/>
                </w:rPr>
                <m:t>BCE</m:t>
              </m:r>
              <m:ctrlPr>
                <w:rPr>
                  <w:rFonts w:ascii="Cambria Math" w:hAnsi="Cambria Math"/>
                  <w:b w:val="0"/>
                  <w:bCs w:val="0"/>
                  <w:sz w:val="24"/>
                  <w:szCs w:val="24"/>
                </w:rPr>
              </m:ctrlPr>
            </m:sub>
          </m:sSub>
          <m:r>
            <m:rPr/>
            <w:rPr>
              <w:rFonts w:ascii="Cambria Math" w:hAnsi="Cambria Math"/>
              <w:sz w:val="24"/>
              <w:szCs w:val="24"/>
            </w:rPr>
            <m:t>/ ∂θ</m:t>
          </m:r>
        </m:oMath>
      </m:oMathPara>
    </w:p>
    <w:p w14:paraId="2A082602">
      <w:pPr>
        <w:spacing w:before="40" w:after="40"/>
        <w:rPr>
          <w:b w:val="0"/>
          <w:bCs w:val="0"/>
          <w:sz w:val="24"/>
          <w:szCs w:val="24"/>
        </w:rPr>
      </w:pPr>
    </w:p>
    <w:p w14:paraId="66226283">
      <w:pPr>
        <w:spacing w:before="60" w:after="100"/>
        <w:ind w:firstLine="480" w:firstLineChars="200"/>
        <w:jc w:val="both"/>
        <w:rPr>
          <w:b w:val="0"/>
          <w:bCs w:val="0"/>
          <w:sz w:val="24"/>
          <w:szCs w:val="24"/>
        </w:rPr>
      </w:pPr>
      <w:r>
        <w:rPr>
          <w:rFonts w:ascii="Arial" w:hAnsi="Arial" w:eastAsia="Arial" w:cs="Arial"/>
          <w:b w:val="0"/>
          <w:bCs w:val="0"/>
          <w:sz w:val="24"/>
          <w:szCs w:val="24"/>
        </w:rPr>
        <w:t>LTN 规则梯度的反传路径为：ltn_loss → sat_agg → forall (pMean-Error) → f_impl → f_not → Predicate.sigmoid → Net.Linear 层参数。BCE 梯度直接从监督标签流向各谓词网络。梯度裁剪（clip_grad_norm_=1.0）作用于两部分梯度之和，防止混合损失中可能出现的梯度累积。</w:t>
      </w:r>
    </w:p>
    <w:p w14:paraId="35669921">
      <w:pPr>
        <w:pStyle w:val="4"/>
        <w:bidi w:val="0"/>
        <w:rPr>
          <w:b w:val="0"/>
          <w:bCs w:val="0"/>
        </w:rPr>
      </w:pPr>
      <w:r>
        <w:t>5.3 单谓词参数量</w:t>
      </w:r>
    </w:p>
    <w:p w14:paraId="773DAFAE">
      <w:pPr>
        <w:spacing w:before="100" w:after="100"/>
        <w:jc w:val="center"/>
        <w:rPr>
          <w:b w:val="0"/>
          <w:bCs w:val="0"/>
        </w:rPr>
      </w:pPr>
      <m:oMathPara>
        <m:oMath>
          <m:r>
            <m:rPr/>
            <w:rPr>
              <w:rFonts w:ascii="Cambria Math" w:hAnsi="Cambria Math"/>
              <w:sz w:val="20"/>
              <w:szCs w:val="20"/>
            </w:rPr>
            <m:t>params  =  300×256 + 256  +  256×128 + 128  +  128×1 + 1  +  LayerNorm  ≈  110,721</m:t>
          </m:r>
        </m:oMath>
      </m:oMathPara>
    </w:p>
    <w:p w14:paraId="60B5B904">
      <w:pPr>
        <w:spacing w:before="100" w:after="100"/>
        <w:jc w:val="center"/>
        <w:rPr>
          <w:b w:val="0"/>
          <w:bCs w:val="0"/>
        </w:rPr>
      </w:pPr>
      <m:oMathPara>
        <m:oMath>
          <m:r>
            <m:rPr/>
            <w:rPr>
              <w:rFonts w:ascii="Cambria Math" w:hAnsi="Cambria Math"/>
            </w:rPr>
            <m:t>7 谓词总参数量  =  7 × 110,721  =  775,047</m:t>
          </m:r>
        </m:oMath>
      </m:oMathPara>
    </w:p>
    <w:p w14:paraId="6FA4B864">
      <w:pPr>
        <w:spacing w:before="40" w:after="40"/>
        <w:rPr>
          <w:b w:val="0"/>
          <w:bCs w:val="0"/>
        </w:rPr>
      </w:pPr>
    </w:p>
    <w:p w14:paraId="52F1ABF9">
      <w:pPr>
        <w:pStyle w:val="3"/>
        <w:bidi w:val="0"/>
      </w:pPr>
      <w:r>
        <w:t>第 6 章  实验结果</w:t>
      </w:r>
    </w:p>
    <w:p w14:paraId="7F1069C9">
      <w:pPr>
        <w:pStyle w:val="4"/>
        <w:bidi w:val="0"/>
        <w:rPr>
          <w:b/>
          <w:bCs w:val="0"/>
          <w:i w:val="0"/>
          <w:iCs w:val="0"/>
          <w:color w:val="000000" w:themeColor="text1"/>
          <w14:textFill>
            <w14:solidFill>
              <w14:schemeClr w14:val="tx1"/>
            </w14:solidFill>
          </w14:textFill>
        </w:rPr>
      </w:pPr>
      <w:r>
        <w:t>6.1 训练过程</w:t>
      </w:r>
    </w:p>
    <w:p w14:paraId="3A7D4268">
      <w:pPr>
        <w:spacing w:before="60" w:after="120"/>
        <w:jc w:val="center"/>
      </w:pPr>
      <w:r>
        <w:rPr>
          <w:rFonts w:ascii="Arial" w:hAnsi="Arial" w:eastAsia="Arial" w:cs="Arial"/>
          <w:b/>
          <w:bCs w:val="0"/>
          <w:i w:val="0"/>
          <w:iCs w:val="0"/>
          <w:color w:val="000000" w:themeColor="text1"/>
          <w:sz w:val="20"/>
          <w:szCs w:val="20"/>
          <w14:textFill>
            <w14:solidFill>
              <w14:schemeClr w14:val="tx1"/>
            </w14:solidFill>
          </w14:textFill>
        </w:rPr>
        <w:t>表 6.1  各 Epoch 训练指标（节选关键轮次）</w:t>
      </w:r>
    </w:p>
    <w:tbl>
      <w:tblPr>
        <w:tblStyle w:val="11"/>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900"/>
        <w:gridCol w:w="900"/>
        <w:gridCol w:w="900"/>
        <w:gridCol w:w="900"/>
        <w:gridCol w:w="900"/>
        <w:gridCol w:w="900"/>
        <w:gridCol w:w="900"/>
      </w:tblGrid>
      <w:tr w14:paraId="224F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3C417E1F">
            <w:pPr>
              <w:jc w:val="center"/>
              <w:rPr>
                <w:b w:val="0"/>
                <w:bCs w:val="0"/>
              </w:rPr>
            </w:pPr>
            <w:r>
              <w:rPr>
                <w:rFonts w:ascii="Arial" w:hAnsi="Arial" w:eastAsia="Arial" w:cs="Arial"/>
                <w:b w:val="0"/>
                <w:bCs w:val="0"/>
                <w:color w:val="FFFFFF"/>
                <w:sz w:val="20"/>
                <w:szCs w:val="20"/>
              </w:rPr>
              <w:t>Epoch</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073A7226">
            <w:pPr>
              <w:jc w:val="center"/>
              <w:rPr>
                <w:b w:val="0"/>
                <w:bCs w:val="0"/>
              </w:rPr>
            </w:pPr>
            <w:r>
              <w:rPr>
                <w:rFonts w:ascii="Arial" w:hAnsi="Arial" w:eastAsia="Arial" w:cs="Arial"/>
                <w:b w:val="0"/>
                <w:bCs w:val="0"/>
                <w:color w:val="FFFFFF"/>
                <w:sz w:val="20"/>
                <w:szCs w:val="20"/>
              </w:rPr>
              <w:t>总 Loss</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5043138">
            <w:pPr>
              <w:jc w:val="center"/>
              <w:rPr>
                <w:b w:val="0"/>
                <w:bCs w:val="0"/>
              </w:rPr>
            </w:pPr>
            <w:r>
              <w:rPr>
                <w:rFonts w:ascii="Arial" w:hAnsi="Arial" w:eastAsia="Arial" w:cs="Arial"/>
                <w:b w:val="0"/>
                <w:bCs w:val="0"/>
                <w:color w:val="FFFFFF"/>
                <w:sz w:val="20"/>
                <w:szCs w:val="20"/>
              </w:rPr>
              <w:t>BCE Loss</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496340B4">
            <w:pPr>
              <w:jc w:val="center"/>
              <w:rPr>
                <w:b w:val="0"/>
                <w:bCs w:val="0"/>
              </w:rPr>
            </w:pPr>
            <w:r>
              <w:rPr>
                <w:rFonts w:ascii="Arial" w:hAnsi="Arial" w:eastAsia="Arial" w:cs="Arial"/>
                <w:b w:val="0"/>
                <w:bCs w:val="0"/>
                <w:color w:val="FFFFFF"/>
                <w:sz w:val="20"/>
                <w:szCs w:val="20"/>
              </w:rPr>
              <w:t>LTN Sat</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321E4206">
            <w:pPr>
              <w:jc w:val="center"/>
              <w:rPr>
                <w:b w:val="0"/>
                <w:bCs w:val="0"/>
              </w:rPr>
            </w:pPr>
            <w:r>
              <w:rPr>
                <w:rFonts w:ascii="Arial" w:hAnsi="Arial" w:eastAsia="Arial" w:cs="Arial"/>
                <w:b w:val="0"/>
                <w:bCs w:val="0"/>
                <w:color w:val="FFFFFF"/>
                <w:sz w:val="20"/>
                <w:szCs w:val="20"/>
              </w:rPr>
              <w:t>R1</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72F96BB7">
            <w:pPr>
              <w:jc w:val="center"/>
              <w:rPr>
                <w:b w:val="0"/>
                <w:bCs w:val="0"/>
              </w:rPr>
            </w:pPr>
            <w:r>
              <w:rPr>
                <w:rFonts w:ascii="Arial" w:hAnsi="Arial" w:eastAsia="Arial" w:cs="Arial"/>
                <w:b w:val="0"/>
                <w:bCs w:val="0"/>
                <w:color w:val="FFFFFF"/>
                <w:sz w:val="20"/>
                <w:szCs w:val="20"/>
              </w:rPr>
              <w:t>R2</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DC97374">
            <w:pPr>
              <w:jc w:val="center"/>
              <w:rPr>
                <w:b w:val="0"/>
                <w:bCs w:val="0"/>
              </w:rPr>
            </w:pPr>
            <w:r>
              <w:rPr>
                <w:rFonts w:ascii="Arial" w:hAnsi="Arial" w:eastAsia="Arial" w:cs="Arial"/>
                <w:b w:val="0"/>
                <w:bCs w:val="0"/>
                <w:color w:val="FFFFFF"/>
                <w:sz w:val="20"/>
                <w:szCs w:val="20"/>
              </w:rPr>
              <w:t>R3</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A20D88D">
            <w:pPr>
              <w:jc w:val="center"/>
              <w:rPr>
                <w:b w:val="0"/>
                <w:bCs w:val="0"/>
              </w:rPr>
            </w:pPr>
            <w:r>
              <w:rPr>
                <w:rFonts w:ascii="Arial" w:hAnsi="Arial" w:eastAsia="Arial" w:cs="Arial"/>
                <w:b w:val="0"/>
                <w:bCs w:val="0"/>
                <w:color w:val="FFFFFF"/>
                <w:sz w:val="20"/>
                <w:szCs w:val="20"/>
              </w:rPr>
              <w:t>R4</w:t>
            </w:r>
          </w:p>
        </w:tc>
        <w:tc>
          <w:tcPr>
            <w:tcW w:w="9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2B26D458">
            <w:pPr>
              <w:jc w:val="center"/>
              <w:rPr>
                <w:b w:val="0"/>
                <w:bCs w:val="0"/>
              </w:rPr>
            </w:pPr>
            <w:r>
              <w:rPr>
                <w:rFonts w:ascii="Arial" w:hAnsi="Arial" w:eastAsia="Arial" w:cs="Arial"/>
                <w:b w:val="0"/>
                <w:bCs w:val="0"/>
                <w:color w:val="FFFFFF"/>
                <w:sz w:val="20"/>
                <w:szCs w:val="20"/>
              </w:rPr>
              <w:t>R5</w:t>
            </w:r>
          </w:p>
        </w:tc>
      </w:tr>
      <w:tr w14:paraId="0DFD5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1C520E6">
            <w:pPr>
              <w:jc w:val="left"/>
              <w:rPr>
                <w:b w:val="0"/>
                <w:bCs w:val="0"/>
              </w:rPr>
            </w:pPr>
            <w:r>
              <w:rPr>
                <w:rFonts w:ascii="Arial" w:hAnsi="Arial" w:eastAsia="Arial" w:cs="Arial"/>
                <w:b w:val="0"/>
                <w:bCs w:val="0"/>
                <w:sz w:val="20"/>
                <w:szCs w:val="20"/>
              </w:rPr>
              <w:t>1</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986DDB2">
            <w:pPr>
              <w:jc w:val="center"/>
              <w:rPr>
                <w:b w:val="0"/>
                <w:bCs w:val="0"/>
              </w:rPr>
            </w:pPr>
            <w:r>
              <w:rPr>
                <w:rFonts w:ascii="Arial" w:hAnsi="Arial" w:eastAsia="Arial" w:cs="Arial"/>
                <w:b w:val="0"/>
                <w:bCs w:val="0"/>
                <w:sz w:val="20"/>
                <w:szCs w:val="20"/>
              </w:rPr>
              <w:t>0.7009</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D0D42D4">
            <w:pPr>
              <w:jc w:val="center"/>
              <w:rPr>
                <w:b w:val="0"/>
                <w:bCs w:val="0"/>
              </w:rPr>
            </w:pPr>
            <w:r>
              <w:rPr>
                <w:rFonts w:ascii="Arial" w:hAnsi="Arial" w:eastAsia="Arial" w:cs="Arial"/>
                <w:b w:val="0"/>
                <w:bCs w:val="0"/>
                <w:sz w:val="20"/>
                <w:szCs w:val="20"/>
              </w:rPr>
              <w:t>0.8870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0E98EE3">
            <w:pPr>
              <w:jc w:val="center"/>
              <w:rPr>
                <w:b w:val="0"/>
                <w:bCs w:val="0"/>
              </w:rPr>
            </w:pPr>
            <w:r>
              <w:rPr>
                <w:rFonts w:ascii="Arial" w:hAnsi="Arial" w:eastAsia="Arial" w:cs="Arial"/>
                <w:b w:val="0"/>
                <w:bCs w:val="0"/>
                <w:sz w:val="20"/>
                <w:szCs w:val="20"/>
              </w:rPr>
              <w:t>0.7332</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55685B0">
            <w:pPr>
              <w:jc w:val="center"/>
              <w:rPr>
                <w:b w:val="0"/>
                <w:bCs w:val="0"/>
              </w:rPr>
            </w:pPr>
            <w:r>
              <w:rPr>
                <w:rFonts w:ascii="Arial" w:hAnsi="Arial" w:eastAsia="Arial" w:cs="Arial"/>
                <w:b w:val="0"/>
                <w:bCs w:val="0"/>
                <w:sz w:val="20"/>
                <w:szCs w:val="20"/>
              </w:rPr>
              <w:t>0.7690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1372C33">
            <w:pPr>
              <w:jc w:val="center"/>
              <w:rPr>
                <w:b w:val="0"/>
                <w:bCs w:val="0"/>
              </w:rPr>
            </w:pPr>
            <w:r>
              <w:rPr>
                <w:rFonts w:ascii="Arial" w:hAnsi="Arial" w:eastAsia="Arial" w:cs="Arial"/>
                <w:b w:val="0"/>
                <w:bCs w:val="0"/>
                <w:sz w:val="20"/>
                <w:szCs w:val="20"/>
              </w:rPr>
              <w:t>0.7181</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B884F15">
            <w:pPr>
              <w:jc w:val="center"/>
              <w:rPr>
                <w:b w:val="0"/>
                <w:bCs w:val="0"/>
              </w:rPr>
            </w:pPr>
            <w:r>
              <w:rPr>
                <w:rFonts w:ascii="Arial" w:hAnsi="Arial" w:eastAsia="Arial" w:cs="Arial"/>
                <w:b w:val="0"/>
                <w:bCs w:val="0"/>
                <w:sz w:val="20"/>
                <w:szCs w:val="20"/>
              </w:rPr>
              <w:t>0.6840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CD651BD">
            <w:pPr>
              <w:jc w:val="center"/>
              <w:rPr>
                <w:b w:val="0"/>
                <w:bCs w:val="0"/>
              </w:rPr>
            </w:pPr>
            <w:r>
              <w:rPr>
                <w:rFonts w:ascii="Arial" w:hAnsi="Arial" w:eastAsia="Arial" w:cs="Arial"/>
                <w:b w:val="0"/>
                <w:bCs w:val="0"/>
                <w:sz w:val="20"/>
                <w:szCs w:val="20"/>
              </w:rPr>
              <w:t>0.7297</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1005248">
            <w:pPr>
              <w:jc w:val="center"/>
              <w:rPr>
                <w:b w:val="0"/>
                <w:bCs w:val="0"/>
              </w:rPr>
            </w:pPr>
            <w:r>
              <w:rPr>
                <w:rFonts w:ascii="Arial" w:hAnsi="Arial" w:eastAsia="Arial" w:cs="Arial"/>
                <w:b w:val="0"/>
                <w:bCs w:val="0"/>
                <w:sz w:val="20"/>
                <w:szCs w:val="20"/>
              </w:rPr>
              <w:t>0.7653</w:t>
            </w:r>
          </w:p>
        </w:tc>
      </w:tr>
      <w:tr w14:paraId="253B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E45A4E4">
            <w:pPr>
              <w:jc w:val="left"/>
              <w:rPr>
                <w:b w:val="0"/>
                <w:bCs w:val="0"/>
              </w:rPr>
            </w:pPr>
            <w:r>
              <w:rPr>
                <w:rFonts w:ascii="Arial" w:hAnsi="Arial" w:eastAsia="Arial" w:cs="Arial"/>
                <w:b w:val="0"/>
                <w:bCs w:val="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4A8719F">
            <w:pPr>
              <w:jc w:val="center"/>
              <w:rPr>
                <w:b w:val="0"/>
                <w:bCs w:val="0"/>
              </w:rPr>
            </w:pPr>
            <w:r>
              <w:rPr>
                <w:rFonts w:ascii="Arial" w:hAnsi="Arial" w:eastAsia="Arial" w:cs="Arial"/>
                <w:b w:val="0"/>
                <w:bCs w:val="0"/>
                <w:sz w:val="20"/>
                <w:szCs w:val="20"/>
              </w:rPr>
              <w:t>0.5239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968B64C">
            <w:pPr>
              <w:jc w:val="center"/>
              <w:rPr>
                <w:b w:val="0"/>
                <w:bCs w:val="0"/>
              </w:rPr>
            </w:pPr>
            <w:r>
              <w:rPr>
                <w:rFonts w:ascii="Arial" w:hAnsi="Arial" w:eastAsia="Arial" w:cs="Arial"/>
                <w:b w:val="0"/>
                <w:bCs w:val="0"/>
                <w:sz w:val="20"/>
                <w:szCs w:val="20"/>
              </w:rPr>
              <w:t>0.6718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1056582">
            <w:pPr>
              <w:jc w:val="center"/>
              <w:rPr>
                <w:b w:val="0"/>
                <w:bCs w:val="0"/>
              </w:rPr>
            </w:pPr>
            <w:r>
              <w:rPr>
                <w:rFonts w:ascii="Arial" w:hAnsi="Arial" w:eastAsia="Arial" w:cs="Arial"/>
                <w:b w:val="0"/>
                <w:bCs w:val="0"/>
                <w:sz w:val="20"/>
                <w:szCs w:val="20"/>
              </w:rPr>
              <w:t>0.8213</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AADB0D">
            <w:pPr>
              <w:jc w:val="center"/>
              <w:rPr>
                <w:b w:val="0"/>
                <w:bCs w:val="0"/>
              </w:rPr>
            </w:pPr>
            <w:r>
              <w:rPr>
                <w:rFonts w:ascii="Arial" w:hAnsi="Arial" w:eastAsia="Arial" w:cs="Arial"/>
                <w:b w:val="0"/>
                <w:bCs w:val="0"/>
                <w:sz w:val="20"/>
                <w:szCs w:val="20"/>
              </w:rPr>
              <w:t>0.8229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DF78B0D">
            <w:pPr>
              <w:jc w:val="center"/>
              <w:rPr>
                <w:b w:val="0"/>
                <w:bCs w:val="0"/>
              </w:rPr>
            </w:pPr>
            <w:r>
              <w:rPr>
                <w:rFonts w:ascii="Arial" w:hAnsi="Arial" w:eastAsia="Arial" w:cs="Arial"/>
                <w:b w:val="0"/>
                <w:bCs w:val="0"/>
                <w:sz w:val="20"/>
                <w:szCs w:val="20"/>
              </w:rPr>
              <w:t>0.8129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D16755F">
            <w:pPr>
              <w:jc w:val="center"/>
              <w:rPr>
                <w:b w:val="0"/>
                <w:bCs w:val="0"/>
              </w:rPr>
            </w:pPr>
            <w:r>
              <w:rPr>
                <w:rFonts w:ascii="Arial" w:hAnsi="Arial" w:eastAsia="Arial" w:cs="Arial"/>
                <w:b w:val="0"/>
                <w:bCs w:val="0"/>
                <w:sz w:val="20"/>
                <w:szCs w:val="20"/>
              </w:rPr>
              <w:t>0.9214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CAD96A3">
            <w:pPr>
              <w:jc w:val="center"/>
              <w:rPr>
                <w:b w:val="0"/>
                <w:bCs w:val="0"/>
              </w:rPr>
            </w:pPr>
            <w:r>
              <w:rPr>
                <w:rFonts w:ascii="Arial" w:hAnsi="Arial" w:eastAsia="Arial" w:cs="Arial"/>
                <w:b w:val="0"/>
                <w:bCs w:val="0"/>
                <w:sz w:val="20"/>
                <w:szCs w:val="20"/>
              </w:rPr>
              <w:t>0.7382</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49A6C9A">
            <w:pPr>
              <w:jc w:val="center"/>
              <w:rPr>
                <w:b w:val="0"/>
                <w:bCs w:val="0"/>
              </w:rPr>
            </w:pPr>
            <w:r>
              <w:rPr>
                <w:rFonts w:ascii="Arial" w:hAnsi="Arial" w:eastAsia="Arial" w:cs="Arial"/>
                <w:b w:val="0"/>
                <w:bCs w:val="0"/>
                <w:sz w:val="20"/>
                <w:szCs w:val="20"/>
              </w:rPr>
              <w:t>0.8109</w:t>
            </w:r>
          </w:p>
        </w:tc>
      </w:tr>
      <w:tr w14:paraId="63392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1BC350F">
            <w:pPr>
              <w:jc w:val="left"/>
              <w:rPr>
                <w:b w:val="0"/>
                <w:bCs w:val="0"/>
              </w:rPr>
            </w:pPr>
            <w:r>
              <w:rPr>
                <w:rFonts w:ascii="Arial" w:hAnsi="Arial" w:eastAsia="Arial" w:cs="Arial"/>
                <w:b w:val="0"/>
                <w:bCs w:val="0"/>
                <w:sz w:val="20"/>
                <w:szCs w:val="20"/>
              </w:rPr>
              <w:t>10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AB47148">
            <w:pPr>
              <w:jc w:val="center"/>
              <w:rPr>
                <w:b w:val="0"/>
                <w:bCs w:val="0"/>
              </w:rPr>
            </w:pPr>
            <w:r>
              <w:rPr>
                <w:rFonts w:ascii="Arial" w:hAnsi="Arial" w:eastAsia="Arial" w:cs="Arial"/>
                <w:b w:val="0"/>
                <w:bCs w:val="0"/>
                <w:sz w:val="20"/>
                <w:szCs w:val="20"/>
              </w:rPr>
              <w:t>0.2760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E525505">
            <w:pPr>
              <w:jc w:val="center"/>
              <w:rPr>
                <w:b w:val="0"/>
                <w:bCs w:val="0"/>
              </w:rPr>
            </w:pPr>
            <w:r>
              <w:rPr>
                <w:rFonts w:ascii="Arial" w:hAnsi="Arial" w:eastAsia="Arial" w:cs="Arial"/>
                <w:b w:val="0"/>
                <w:bCs w:val="0"/>
                <w:sz w:val="20"/>
                <w:szCs w:val="20"/>
              </w:rPr>
              <w:t>0.3268</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C4FEF7">
            <w:pPr>
              <w:jc w:val="center"/>
              <w:rPr>
                <w:b w:val="0"/>
                <w:bCs w:val="0"/>
              </w:rPr>
            </w:pPr>
            <w:r>
              <w:rPr>
                <w:rFonts w:ascii="Arial" w:hAnsi="Arial" w:eastAsia="Arial" w:cs="Arial"/>
                <w:b w:val="0"/>
                <w:bCs w:val="0"/>
                <w:sz w:val="20"/>
                <w:szCs w:val="20"/>
              </w:rPr>
              <w:t>0.8426</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76C2E95">
            <w:pPr>
              <w:jc w:val="center"/>
              <w:rPr>
                <w:b w:val="0"/>
                <w:bCs w:val="0"/>
              </w:rPr>
            </w:pPr>
            <w:r>
              <w:rPr>
                <w:rFonts w:ascii="Arial" w:hAnsi="Arial" w:eastAsia="Arial" w:cs="Arial"/>
                <w:b w:val="0"/>
                <w:bCs w:val="0"/>
                <w:sz w:val="20"/>
                <w:szCs w:val="20"/>
              </w:rPr>
              <w:t>0.9012</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8CF913E">
            <w:pPr>
              <w:jc w:val="center"/>
              <w:rPr>
                <w:b w:val="0"/>
                <w:bCs w:val="0"/>
              </w:rPr>
            </w:pPr>
            <w:r>
              <w:rPr>
                <w:rFonts w:ascii="Arial" w:hAnsi="Arial" w:eastAsia="Arial" w:cs="Arial"/>
                <w:b w:val="0"/>
                <w:bCs w:val="0"/>
                <w:sz w:val="20"/>
                <w:szCs w:val="20"/>
              </w:rPr>
              <w:t>0.8307</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271B481">
            <w:pPr>
              <w:jc w:val="center"/>
              <w:rPr>
                <w:b w:val="0"/>
                <w:bCs w:val="0"/>
              </w:rPr>
            </w:pPr>
            <w:r>
              <w:rPr>
                <w:rFonts w:ascii="Arial" w:hAnsi="Arial" w:eastAsia="Arial" w:cs="Arial"/>
                <w:b w:val="0"/>
                <w:bCs w:val="0"/>
                <w:sz w:val="20"/>
                <w:szCs w:val="20"/>
              </w:rPr>
              <w:t>0.9594</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34C0FE7">
            <w:pPr>
              <w:jc w:val="center"/>
              <w:rPr>
                <w:b w:val="0"/>
                <w:bCs w:val="0"/>
              </w:rPr>
            </w:pPr>
            <w:r>
              <w:rPr>
                <w:rFonts w:ascii="Arial" w:hAnsi="Arial" w:eastAsia="Arial" w:cs="Arial"/>
                <w:b w:val="0"/>
                <w:bCs w:val="0"/>
                <w:sz w:val="20"/>
                <w:szCs w:val="20"/>
              </w:rPr>
              <w:t>0.6957</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8DD8503">
            <w:pPr>
              <w:jc w:val="center"/>
              <w:rPr>
                <w:b w:val="0"/>
                <w:bCs w:val="0"/>
              </w:rPr>
            </w:pPr>
            <w:r>
              <w:rPr>
                <w:rFonts w:ascii="Arial" w:hAnsi="Arial" w:eastAsia="Arial" w:cs="Arial"/>
                <w:b w:val="0"/>
                <w:bCs w:val="0"/>
                <w:sz w:val="20"/>
                <w:szCs w:val="20"/>
              </w:rPr>
              <w:t>0.8263</w:t>
            </w:r>
          </w:p>
        </w:tc>
      </w:tr>
      <w:tr w14:paraId="2564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070FECF">
            <w:pPr>
              <w:jc w:val="left"/>
              <w:rPr>
                <w:b w:val="0"/>
                <w:bCs w:val="0"/>
              </w:rPr>
            </w:pPr>
            <w:r>
              <w:rPr>
                <w:rFonts w:ascii="Arial" w:hAnsi="Arial" w:eastAsia="Arial" w:cs="Arial"/>
                <w:b w:val="0"/>
                <w:bCs w:val="0"/>
                <w:sz w:val="20"/>
                <w:szCs w:val="20"/>
              </w:rPr>
              <w:t>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8E44E09">
            <w:pPr>
              <w:jc w:val="center"/>
              <w:rPr>
                <w:b w:val="0"/>
                <w:bCs w:val="0"/>
              </w:rPr>
            </w:pPr>
            <w:r>
              <w:rPr>
                <w:rFonts w:ascii="Arial" w:hAnsi="Arial" w:eastAsia="Arial" w:cs="Arial"/>
                <w:b w:val="0"/>
                <w:bCs w:val="0"/>
                <w:sz w:val="20"/>
                <w:szCs w:val="20"/>
              </w:rPr>
              <w:t>0.1424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BF27DC7">
            <w:pPr>
              <w:jc w:val="center"/>
              <w:rPr>
                <w:b w:val="0"/>
                <w:bCs w:val="0"/>
              </w:rPr>
            </w:pPr>
            <w:r>
              <w:rPr>
                <w:rFonts w:ascii="Arial" w:hAnsi="Arial" w:eastAsia="Arial" w:cs="Arial"/>
                <w:b w:val="0"/>
                <w:bCs w:val="0"/>
                <w:sz w:val="20"/>
                <w:szCs w:val="20"/>
              </w:rPr>
              <w:t>0.1408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32AE9A0">
            <w:pPr>
              <w:jc w:val="center"/>
              <w:rPr>
                <w:b w:val="0"/>
                <w:bCs w:val="0"/>
              </w:rPr>
            </w:pPr>
            <w:r>
              <w:rPr>
                <w:rFonts w:ascii="Arial" w:hAnsi="Arial" w:eastAsia="Arial" w:cs="Arial"/>
                <w:b w:val="0"/>
                <w:bCs w:val="0"/>
                <w:sz w:val="20"/>
                <w:szCs w:val="20"/>
              </w:rPr>
              <w:t>0.8536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E144BB1">
            <w:pPr>
              <w:jc w:val="center"/>
              <w:rPr>
                <w:b w:val="0"/>
                <w:bCs w:val="0"/>
              </w:rPr>
            </w:pPr>
            <w:r>
              <w:rPr>
                <w:rFonts w:ascii="Arial" w:hAnsi="Arial" w:eastAsia="Arial" w:cs="Arial"/>
                <w:b w:val="0"/>
                <w:bCs w:val="0"/>
                <w:sz w:val="20"/>
                <w:szCs w:val="20"/>
              </w:rPr>
              <w:t>0.8994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0A567D">
            <w:pPr>
              <w:jc w:val="center"/>
              <w:rPr>
                <w:b w:val="0"/>
                <w:bCs w:val="0"/>
              </w:rPr>
            </w:pPr>
            <w:r>
              <w:rPr>
                <w:rFonts w:ascii="Arial" w:hAnsi="Arial" w:eastAsia="Arial" w:cs="Arial"/>
                <w:b w:val="0"/>
                <w:bCs w:val="0"/>
                <w:sz w:val="20"/>
                <w:szCs w:val="20"/>
              </w:rPr>
              <w:t>0.8545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A717314">
            <w:pPr>
              <w:jc w:val="center"/>
              <w:rPr>
                <w:b w:val="0"/>
                <w:bCs w:val="0"/>
              </w:rPr>
            </w:pPr>
            <w:r>
              <w:rPr>
                <w:rFonts w:ascii="Arial" w:hAnsi="Arial" w:eastAsia="Arial" w:cs="Arial"/>
                <w:b w:val="0"/>
                <w:bCs w:val="0"/>
                <w:sz w:val="20"/>
                <w:szCs w:val="20"/>
              </w:rPr>
              <w:t>0.9809</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F4FD01E">
            <w:pPr>
              <w:jc w:val="center"/>
              <w:rPr>
                <w:b w:val="0"/>
                <w:bCs w:val="0"/>
              </w:rPr>
            </w:pPr>
            <w:r>
              <w:rPr>
                <w:rFonts w:ascii="Arial" w:hAnsi="Arial" w:eastAsia="Arial" w:cs="Arial"/>
                <w:b w:val="0"/>
                <w:bCs w:val="0"/>
                <w:sz w:val="20"/>
                <w:szCs w:val="20"/>
              </w:rPr>
              <w:t>0.6358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8CF4513">
            <w:pPr>
              <w:jc w:val="center"/>
              <w:rPr>
                <w:b w:val="0"/>
                <w:bCs w:val="0"/>
              </w:rPr>
            </w:pPr>
            <w:r>
              <w:rPr>
                <w:rFonts w:ascii="Arial" w:hAnsi="Arial" w:eastAsia="Arial" w:cs="Arial"/>
                <w:b w:val="0"/>
                <w:bCs w:val="0"/>
                <w:sz w:val="20"/>
                <w:szCs w:val="20"/>
              </w:rPr>
              <w:t>0.8973</w:t>
            </w:r>
          </w:p>
        </w:tc>
      </w:tr>
      <w:tr w14:paraId="64E7A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0F3A6E0">
            <w:pPr>
              <w:jc w:val="left"/>
              <w:rPr>
                <w:b w:val="0"/>
                <w:bCs w:val="0"/>
              </w:rPr>
            </w:pPr>
            <w:r>
              <w:rPr>
                <w:rFonts w:ascii="Arial" w:hAnsi="Arial" w:eastAsia="Arial" w:cs="Arial"/>
                <w:b w:val="0"/>
                <w:bCs w:val="0"/>
                <w:sz w:val="20"/>
                <w:szCs w:val="20"/>
              </w:rPr>
              <w:t>30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522471F">
            <w:pPr>
              <w:jc w:val="center"/>
              <w:rPr>
                <w:b w:val="0"/>
                <w:bCs w:val="0"/>
              </w:rPr>
            </w:pPr>
            <w:r>
              <w:rPr>
                <w:rFonts w:ascii="Arial" w:hAnsi="Arial" w:eastAsia="Arial" w:cs="Arial"/>
                <w:b w:val="0"/>
                <w:bCs w:val="0"/>
                <w:sz w:val="20"/>
                <w:szCs w:val="20"/>
              </w:rPr>
              <w:t>0.1148</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06D86EF">
            <w:pPr>
              <w:jc w:val="center"/>
              <w:rPr>
                <w:b w:val="0"/>
                <w:bCs w:val="0"/>
              </w:rPr>
            </w:pPr>
            <w:r>
              <w:rPr>
                <w:rFonts w:ascii="Arial" w:hAnsi="Arial" w:eastAsia="Arial" w:cs="Arial"/>
                <w:b w:val="0"/>
                <w:bCs w:val="0"/>
                <w:sz w:val="20"/>
                <w:szCs w:val="20"/>
              </w:rPr>
              <w:t>0.1014</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F229A7F">
            <w:pPr>
              <w:jc w:val="center"/>
              <w:rPr>
                <w:b w:val="0"/>
                <w:bCs w:val="0"/>
              </w:rPr>
            </w:pPr>
            <w:r>
              <w:rPr>
                <w:rFonts w:ascii="Arial" w:hAnsi="Arial" w:eastAsia="Arial" w:cs="Arial"/>
                <w:b w:val="0"/>
                <w:bCs w:val="0"/>
                <w:sz w:val="20"/>
                <w:szCs w:val="20"/>
              </w:rPr>
              <w:t>0.8540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6A69B97">
            <w:pPr>
              <w:jc w:val="center"/>
              <w:rPr>
                <w:b w:val="0"/>
                <w:bCs w:val="0"/>
              </w:rPr>
            </w:pPr>
            <w:r>
              <w:rPr>
                <w:rFonts w:ascii="Arial" w:hAnsi="Arial" w:eastAsia="Arial" w:cs="Arial"/>
                <w:b w:val="0"/>
                <w:bCs w:val="0"/>
                <w:sz w:val="20"/>
                <w:szCs w:val="20"/>
              </w:rPr>
              <w:t>0.8967</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D62D030">
            <w:pPr>
              <w:jc w:val="center"/>
              <w:rPr>
                <w:b w:val="0"/>
                <w:bCs w:val="0"/>
              </w:rPr>
            </w:pPr>
            <w:r>
              <w:rPr>
                <w:rFonts w:ascii="Arial" w:hAnsi="Arial" w:eastAsia="Arial" w:cs="Arial"/>
                <w:b w:val="0"/>
                <w:bCs w:val="0"/>
                <w:sz w:val="20"/>
                <w:szCs w:val="20"/>
              </w:rPr>
              <w:t>0.8535</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9A2FCF6">
            <w:pPr>
              <w:jc w:val="center"/>
              <w:rPr>
                <w:b w:val="0"/>
                <w:bCs w:val="0"/>
              </w:rPr>
            </w:pPr>
            <w:r>
              <w:rPr>
                <w:rFonts w:ascii="Arial" w:hAnsi="Arial" w:eastAsia="Arial" w:cs="Arial"/>
                <w:b w:val="0"/>
                <w:bCs w:val="0"/>
                <w:sz w:val="20"/>
                <w:szCs w:val="20"/>
              </w:rPr>
              <w:t>0.9872</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6F8EF65">
            <w:pPr>
              <w:jc w:val="center"/>
              <w:rPr>
                <w:b w:val="0"/>
                <w:bCs w:val="0"/>
              </w:rPr>
            </w:pPr>
            <w:r>
              <w:rPr>
                <w:rFonts w:ascii="Arial" w:hAnsi="Arial" w:eastAsia="Arial" w:cs="Arial"/>
                <w:b w:val="0"/>
                <w:bCs w:val="0"/>
                <w:sz w:val="20"/>
                <w:szCs w:val="20"/>
              </w:rPr>
              <w:t>0.6050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D9C53C3">
            <w:pPr>
              <w:jc w:val="center"/>
              <w:rPr>
                <w:b w:val="0"/>
                <w:bCs w:val="0"/>
              </w:rPr>
            </w:pPr>
            <w:r>
              <w:rPr>
                <w:rFonts w:ascii="Arial" w:hAnsi="Arial" w:eastAsia="Arial" w:cs="Arial"/>
                <w:b w:val="0"/>
                <w:bCs w:val="0"/>
                <w:sz w:val="20"/>
                <w:szCs w:val="20"/>
              </w:rPr>
              <w:t>0.9274</w:t>
            </w:r>
          </w:p>
        </w:tc>
      </w:tr>
      <w:tr w14:paraId="5CBE6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4C5A059">
            <w:pPr>
              <w:jc w:val="left"/>
              <w:rPr>
                <w:b w:val="0"/>
                <w:bCs w:val="0"/>
              </w:rPr>
            </w:pPr>
            <w:r>
              <w:rPr>
                <w:rFonts w:ascii="Arial" w:hAnsi="Arial" w:eastAsia="Arial" w:cs="Arial"/>
                <w:b w:val="0"/>
                <w:bCs w:val="0"/>
                <w:sz w:val="20"/>
                <w:szCs w:val="20"/>
              </w:rPr>
              <w:t>40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B2DEB21">
            <w:pPr>
              <w:jc w:val="center"/>
              <w:rPr>
                <w:b w:val="0"/>
                <w:bCs w:val="0"/>
              </w:rPr>
            </w:pPr>
            <w:r>
              <w:rPr>
                <w:rFonts w:ascii="Arial" w:hAnsi="Arial" w:eastAsia="Arial" w:cs="Arial"/>
                <w:b w:val="0"/>
                <w:bCs w:val="0"/>
                <w:sz w:val="20"/>
                <w:szCs w:val="20"/>
              </w:rPr>
              <w:t>0.1085</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8C00CA7">
            <w:pPr>
              <w:jc w:val="center"/>
              <w:rPr>
                <w:b w:val="0"/>
                <w:bCs w:val="0"/>
              </w:rPr>
            </w:pPr>
            <w:r>
              <w:rPr>
                <w:rFonts w:ascii="Arial" w:hAnsi="Arial" w:eastAsia="Arial" w:cs="Arial"/>
                <w:b w:val="0"/>
                <w:bCs w:val="0"/>
                <w:sz w:val="20"/>
                <w:szCs w:val="20"/>
              </w:rPr>
              <w:t>0.0916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BFD2B9">
            <w:pPr>
              <w:jc w:val="center"/>
              <w:rPr>
                <w:b w:val="0"/>
                <w:bCs w:val="0"/>
              </w:rPr>
            </w:pPr>
            <w:r>
              <w:rPr>
                <w:rFonts w:ascii="Arial" w:hAnsi="Arial" w:eastAsia="Arial" w:cs="Arial"/>
                <w:b w:val="0"/>
                <w:bCs w:val="0"/>
                <w:sz w:val="20"/>
                <w:szCs w:val="20"/>
              </w:rPr>
              <w:t>0.8520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7E87C20">
            <w:pPr>
              <w:jc w:val="center"/>
              <w:rPr>
                <w:b w:val="0"/>
                <w:bCs w:val="0"/>
              </w:rPr>
            </w:pPr>
            <w:r>
              <w:rPr>
                <w:rFonts w:ascii="Arial" w:hAnsi="Arial" w:eastAsia="Arial" w:cs="Arial"/>
                <w:b w:val="0"/>
                <w:bCs w:val="0"/>
                <w:sz w:val="20"/>
                <w:szCs w:val="20"/>
              </w:rPr>
              <w:t>0.8961</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1198543">
            <w:pPr>
              <w:jc w:val="center"/>
              <w:rPr>
                <w:b w:val="0"/>
                <w:bCs w:val="0"/>
              </w:rPr>
            </w:pPr>
            <w:r>
              <w:rPr>
                <w:rFonts w:ascii="Arial" w:hAnsi="Arial" w:eastAsia="Arial" w:cs="Arial"/>
                <w:b w:val="0"/>
                <w:bCs w:val="0"/>
                <w:sz w:val="20"/>
                <w:szCs w:val="20"/>
              </w:rPr>
              <w:t>0.8424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7D1123F">
            <w:pPr>
              <w:jc w:val="center"/>
              <w:rPr>
                <w:b w:val="0"/>
                <w:bCs w:val="0"/>
              </w:rPr>
            </w:pPr>
            <w:r>
              <w:rPr>
                <w:rFonts w:ascii="Arial" w:hAnsi="Arial" w:eastAsia="Arial" w:cs="Arial"/>
                <w:b w:val="0"/>
                <w:bCs w:val="0"/>
                <w:sz w:val="20"/>
                <w:szCs w:val="20"/>
              </w:rPr>
              <w:t>0.9884</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1050CCA">
            <w:pPr>
              <w:jc w:val="center"/>
              <w:rPr>
                <w:b w:val="0"/>
                <w:bCs w:val="0"/>
              </w:rPr>
            </w:pPr>
            <w:r>
              <w:rPr>
                <w:rFonts w:ascii="Arial" w:hAnsi="Arial" w:eastAsia="Arial" w:cs="Arial"/>
                <w:b w:val="0"/>
                <w:bCs w:val="0"/>
                <w:sz w:val="20"/>
                <w:szCs w:val="20"/>
              </w:rPr>
              <w:t>0.5950</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9E2D80D">
            <w:pPr>
              <w:jc w:val="center"/>
              <w:rPr>
                <w:b w:val="0"/>
                <w:bCs w:val="0"/>
              </w:rPr>
            </w:pPr>
            <w:r>
              <w:rPr>
                <w:rFonts w:ascii="Arial" w:hAnsi="Arial" w:eastAsia="Arial" w:cs="Arial"/>
                <w:b w:val="0"/>
                <w:bCs w:val="0"/>
                <w:sz w:val="20"/>
                <w:szCs w:val="20"/>
              </w:rPr>
              <w:t>0.9383</w:t>
            </w:r>
          </w:p>
        </w:tc>
      </w:tr>
      <w:tr w14:paraId="6A74C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B05C560">
            <w:pPr>
              <w:jc w:val="left"/>
              <w:rPr>
                <w:b w:val="0"/>
                <w:bCs w:val="0"/>
              </w:rPr>
            </w:pPr>
            <w:r>
              <w:rPr>
                <w:rFonts w:ascii="Arial" w:hAnsi="Arial" w:eastAsia="Arial" w:cs="Arial"/>
                <w:b w:val="0"/>
                <w:bCs w:val="0"/>
                <w:sz w:val="20"/>
                <w:szCs w:val="20"/>
              </w:rPr>
              <w:t>50</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3BF6D37">
            <w:pPr>
              <w:jc w:val="center"/>
              <w:rPr>
                <w:b w:val="0"/>
                <w:bCs w:val="0"/>
              </w:rPr>
            </w:pPr>
            <w:r>
              <w:rPr>
                <w:rFonts w:ascii="Arial" w:hAnsi="Arial" w:eastAsia="Arial" w:cs="Arial"/>
                <w:b w:val="0"/>
                <w:bCs w:val="0"/>
                <w:sz w:val="20"/>
                <w:szCs w:val="20"/>
              </w:rPr>
              <w:t>0.1051</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7A1B1EF">
            <w:pPr>
              <w:jc w:val="center"/>
              <w:rPr>
                <w:b w:val="0"/>
                <w:bCs w:val="0"/>
              </w:rPr>
            </w:pPr>
            <w:r>
              <w:rPr>
                <w:rFonts w:ascii="Arial" w:hAnsi="Arial" w:eastAsia="Arial" w:cs="Arial"/>
                <w:b w:val="0"/>
                <w:bCs w:val="0"/>
                <w:sz w:val="20"/>
                <w:szCs w:val="20"/>
              </w:rPr>
              <w:t>0.0876</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42A3C7F">
            <w:pPr>
              <w:jc w:val="center"/>
              <w:rPr>
                <w:b w:val="0"/>
                <w:bCs w:val="0"/>
              </w:rPr>
            </w:pPr>
            <w:r>
              <w:rPr>
                <w:rFonts w:ascii="Arial" w:hAnsi="Arial" w:eastAsia="Arial" w:cs="Arial"/>
                <w:b w:val="0"/>
                <w:bCs w:val="0"/>
                <w:sz w:val="20"/>
                <w:szCs w:val="20"/>
              </w:rPr>
              <w:t>0.8542</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2802DD8">
            <w:pPr>
              <w:jc w:val="center"/>
              <w:rPr>
                <w:b w:val="0"/>
                <w:bCs w:val="0"/>
              </w:rPr>
            </w:pPr>
            <w:r>
              <w:rPr>
                <w:rFonts w:ascii="Arial" w:hAnsi="Arial" w:eastAsia="Arial" w:cs="Arial"/>
                <w:b w:val="0"/>
                <w:bCs w:val="0"/>
                <w:sz w:val="20"/>
                <w:szCs w:val="20"/>
              </w:rPr>
              <w:t>0.8976</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A92746E">
            <w:pPr>
              <w:jc w:val="center"/>
              <w:rPr>
                <w:b w:val="0"/>
                <w:bCs w:val="0"/>
              </w:rPr>
            </w:pPr>
            <w:r>
              <w:rPr>
                <w:rFonts w:ascii="Arial" w:hAnsi="Arial" w:eastAsia="Arial" w:cs="Arial"/>
                <w:b w:val="0"/>
                <w:bCs w:val="0"/>
                <w:sz w:val="20"/>
                <w:szCs w:val="20"/>
              </w:rPr>
              <w:t>0.8519</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9A2E002">
            <w:pPr>
              <w:jc w:val="center"/>
              <w:rPr>
                <w:b w:val="0"/>
                <w:bCs w:val="0"/>
              </w:rPr>
            </w:pPr>
            <w:r>
              <w:rPr>
                <w:rFonts w:ascii="Arial" w:hAnsi="Arial" w:eastAsia="Arial" w:cs="Arial"/>
                <w:b w:val="0"/>
                <w:bCs w:val="0"/>
                <w:sz w:val="20"/>
                <w:szCs w:val="20"/>
              </w:rPr>
              <w:t>0.9878</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8C5E4A7">
            <w:pPr>
              <w:jc w:val="center"/>
              <w:rPr>
                <w:b w:val="0"/>
                <w:bCs w:val="0"/>
              </w:rPr>
            </w:pPr>
            <w:r>
              <w:rPr>
                <w:rFonts w:ascii="Arial" w:hAnsi="Arial" w:eastAsia="Arial" w:cs="Arial"/>
                <w:b w:val="0"/>
                <w:bCs w:val="0"/>
                <w:sz w:val="20"/>
                <w:szCs w:val="20"/>
              </w:rPr>
              <w:t>0.5932</w:t>
            </w:r>
          </w:p>
        </w:tc>
        <w:tc>
          <w:tcPr>
            <w:tcW w:w="9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93F3A74">
            <w:pPr>
              <w:jc w:val="center"/>
              <w:rPr>
                <w:b w:val="0"/>
                <w:bCs w:val="0"/>
              </w:rPr>
            </w:pPr>
            <w:r>
              <w:rPr>
                <w:rFonts w:ascii="Arial" w:hAnsi="Arial" w:eastAsia="Arial" w:cs="Arial"/>
                <w:b w:val="0"/>
                <w:bCs w:val="0"/>
                <w:sz w:val="20"/>
                <w:szCs w:val="20"/>
              </w:rPr>
              <w:t>0.9405</w:t>
            </w:r>
          </w:p>
        </w:tc>
      </w:tr>
    </w:tbl>
    <w:p w14:paraId="0AC17F88">
      <w:pPr>
        <w:spacing w:before="40" w:after="40"/>
        <w:rPr>
          <w:b w:val="0"/>
          <w:bCs w:val="0"/>
        </w:rPr>
      </w:pPr>
    </w:p>
    <w:p w14:paraId="124C08B8">
      <w:pPr>
        <w:pStyle w:val="16"/>
        <w:numPr>
          <w:ilvl w:val="0"/>
          <w:numId w:val="1"/>
        </w:numPr>
        <w:spacing w:before="40" w:after="40"/>
        <w:rPr>
          <w:b w:val="0"/>
          <w:bCs w:val="0"/>
          <w:sz w:val="24"/>
          <w:szCs w:val="24"/>
        </w:rPr>
      </w:pPr>
      <w:r>
        <w:rPr>
          <w:rFonts w:ascii="Arial" w:hAnsi="Arial" w:eastAsia="Arial" w:cs="Arial"/>
          <w:b w:val="0"/>
          <w:bCs w:val="0"/>
          <w:sz w:val="24"/>
          <w:szCs w:val="24"/>
        </w:rPr>
        <w:t>总损失从 0.70 平稳下降至 0.10（降幅约 85%），BCE 从 0.89 降至 0.09，表明监督学习高效进行</w:t>
      </w:r>
    </w:p>
    <w:p w14:paraId="41786C93">
      <w:pPr>
        <w:pStyle w:val="16"/>
        <w:numPr>
          <w:ilvl w:val="0"/>
          <w:numId w:val="1"/>
        </w:numPr>
        <w:spacing w:before="40" w:after="40"/>
        <w:rPr>
          <w:b w:val="0"/>
          <w:bCs w:val="0"/>
          <w:sz w:val="24"/>
          <w:szCs w:val="24"/>
        </w:rPr>
      </w:pPr>
      <w:r>
        <w:rPr>
          <w:rFonts w:ascii="Arial" w:hAnsi="Arial" w:eastAsia="Arial" w:cs="Arial"/>
          <w:b w:val="0"/>
          <w:bCs w:val="0"/>
          <w:sz w:val="24"/>
          <w:szCs w:val="24"/>
        </w:rPr>
        <w:t>LTN Sat 从 0.73 快速升至约 0.85 并在 epoch 10 后趋于稳定，说明逻辑规则在训练初期即被快速内化</w:t>
      </w:r>
    </w:p>
    <w:p w14:paraId="45873083">
      <w:pPr>
        <w:pStyle w:val="16"/>
        <w:numPr>
          <w:ilvl w:val="0"/>
          <w:numId w:val="1"/>
        </w:numPr>
        <w:spacing w:before="40" w:after="40"/>
        <w:rPr>
          <w:b w:val="0"/>
          <w:bCs w:val="0"/>
          <w:sz w:val="24"/>
          <w:szCs w:val="24"/>
        </w:rPr>
      </w:pPr>
      <w:r>
        <w:rPr>
          <w:rFonts w:ascii="Arial" w:hAnsi="Arial" w:eastAsia="Arial" w:cs="Arial"/>
          <w:b w:val="0"/>
          <w:bCs w:val="0"/>
          <w:sz w:val="24"/>
          <w:szCs w:val="24"/>
        </w:rPr>
        <w:t>R3（Commut→Functor）持续升至 0.9878，与数学必然性完全吻合；R4（ManySym→Theorem）从 0.73 降至 0.59，揭示该规则与数据分布存在系统性偏差</w:t>
      </w:r>
    </w:p>
    <w:p w14:paraId="7A0EFF10">
      <w:pPr>
        <w:pStyle w:val="16"/>
        <w:numPr>
          <w:ilvl w:val="0"/>
          <w:numId w:val="1"/>
        </w:numPr>
        <w:spacing w:before="40" w:after="40"/>
        <w:rPr>
          <w:b w:val="0"/>
          <w:bCs w:val="0"/>
          <w:sz w:val="24"/>
          <w:szCs w:val="24"/>
        </w:rPr>
      </w:pPr>
      <w:r>
        <w:rPr>
          <w:rFonts w:ascii="Arial" w:hAnsi="Arial" w:eastAsia="Arial" w:cs="Arial"/>
          <w:b w:val="0"/>
          <w:bCs w:val="0"/>
          <w:sz w:val="24"/>
          <w:szCs w:val="24"/>
        </w:rPr>
        <w:t>训练全程无坍塌、无 NaN——证明混合损失方案完全解决了预测坍塌问题</w:t>
      </w:r>
    </w:p>
    <w:p w14:paraId="6DE154C8">
      <w:pPr>
        <w:spacing w:before="40" w:after="40"/>
        <w:rPr>
          <w:b w:val="0"/>
          <w:bCs w:val="0"/>
        </w:rPr>
      </w:pPr>
    </w:p>
    <w:p w14:paraId="1A55B30D">
      <w:pPr>
        <w:pStyle w:val="4"/>
        <w:bidi w:val="0"/>
      </w:pPr>
      <w:r>
        <w:t>6.2 测试集分类性能</w:t>
      </w:r>
    </w:p>
    <w:p w14:paraId="3D1070C2">
      <w:pPr>
        <w:spacing w:before="60" w:after="120"/>
        <w:jc w:val="center"/>
        <w:rPr>
          <w:b/>
          <w:bCs/>
          <w:i w:val="0"/>
          <w:iCs w:val="0"/>
          <w:color w:val="000000" w:themeColor="text1"/>
          <w14:textFill>
            <w14:solidFill>
              <w14:schemeClr w14:val="tx1"/>
            </w14:solidFill>
          </w14:textFill>
        </w:rPr>
      </w:pPr>
      <w:r>
        <w:rPr>
          <w:rFonts w:ascii="Arial" w:hAnsi="Arial" w:eastAsia="Arial" w:cs="Arial"/>
          <w:b/>
          <w:bCs/>
          <w:i w:val="0"/>
          <w:iCs w:val="0"/>
          <w:color w:val="000000" w:themeColor="text1"/>
          <w:sz w:val="20"/>
          <w:szCs w:val="20"/>
          <w14:textFill>
            <w14:solidFill>
              <w14:schemeClr w14:val="tx1"/>
            </w14:solidFill>
          </w14:textFill>
        </w:rPr>
        <w:t>表 6.2  测试集各谓词分类指标（动态阈值 / Youden 指数最优点）</w:t>
      </w:r>
    </w:p>
    <w:tbl>
      <w:tblPr>
        <w:tblStyle w:val="11"/>
        <w:tblW w:w="72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800"/>
        <w:gridCol w:w="800"/>
        <w:gridCol w:w="800"/>
        <w:gridCol w:w="800"/>
        <w:gridCol w:w="800"/>
        <w:gridCol w:w="1000"/>
        <w:gridCol w:w="1026"/>
      </w:tblGrid>
      <w:tr w14:paraId="3530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B4E1C9F">
            <w:pPr>
              <w:jc w:val="center"/>
              <w:rPr>
                <w:b w:val="0"/>
                <w:bCs w:val="0"/>
              </w:rPr>
            </w:pPr>
            <w:r>
              <w:rPr>
                <w:rFonts w:ascii="Arial" w:hAnsi="Arial" w:eastAsia="Arial" w:cs="Arial"/>
                <w:b w:val="0"/>
                <w:bCs w:val="0"/>
                <w:color w:val="FFFFFF"/>
                <w:sz w:val="20"/>
                <w:szCs w:val="20"/>
              </w:rPr>
              <w:t>谓词</w:t>
            </w:r>
          </w:p>
        </w:tc>
        <w:tc>
          <w:tcPr>
            <w:tcW w:w="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466ABF0B">
            <w:pPr>
              <w:jc w:val="center"/>
              <w:rPr>
                <w:b w:val="0"/>
                <w:bCs w:val="0"/>
              </w:rPr>
            </w:pPr>
            <w:r>
              <w:rPr>
                <w:rFonts w:ascii="Arial" w:hAnsi="Arial" w:eastAsia="Arial" w:cs="Arial"/>
                <w:b w:val="0"/>
                <w:bCs w:val="0"/>
                <w:color w:val="FFFFFF"/>
                <w:sz w:val="20"/>
                <w:szCs w:val="20"/>
              </w:rPr>
              <w:t>Acc</w:t>
            </w:r>
          </w:p>
        </w:tc>
        <w:tc>
          <w:tcPr>
            <w:tcW w:w="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7092F76B">
            <w:pPr>
              <w:jc w:val="center"/>
              <w:rPr>
                <w:b w:val="0"/>
                <w:bCs w:val="0"/>
              </w:rPr>
            </w:pPr>
            <w:r>
              <w:rPr>
                <w:rFonts w:ascii="Arial" w:hAnsi="Arial" w:eastAsia="Arial" w:cs="Arial"/>
                <w:b w:val="0"/>
                <w:bCs w:val="0"/>
                <w:color w:val="FFFFFF"/>
                <w:sz w:val="20"/>
                <w:szCs w:val="20"/>
              </w:rPr>
              <w:t>Prec</w:t>
            </w:r>
          </w:p>
        </w:tc>
        <w:tc>
          <w:tcPr>
            <w:tcW w:w="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208347D6">
            <w:pPr>
              <w:jc w:val="center"/>
              <w:rPr>
                <w:b w:val="0"/>
                <w:bCs w:val="0"/>
              </w:rPr>
            </w:pPr>
            <w:r>
              <w:rPr>
                <w:rFonts w:ascii="Arial" w:hAnsi="Arial" w:eastAsia="Arial" w:cs="Arial"/>
                <w:b w:val="0"/>
                <w:bCs w:val="0"/>
                <w:color w:val="FFFFFF"/>
                <w:sz w:val="20"/>
                <w:szCs w:val="20"/>
              </w:rPr>
              <w:t>Rec</w:t>
            </w:r>
          </w:p>
        </w:tc>
        <w:tc>
          <w:tcPr>
            <w:tcW w:w="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67716556">
            <w:pPr>
              <w:jc w:val="center"/>
              <w:rPr>
                <w:b w:val="0"/>
                <w:bCs w:val="0"/>
              </w:rPr>
            </w:pPr>
            <w:r>
              <w:rPr>
                <w:rFonts w:ascii="Arial" w:hAnsi="Arial" w:eastAsia="Arial" w:cs="Arial"/>
                <w:b w:val="0"/>
                <w:bCs w:val="0"/>
                <w:color w:val="FFFFFF"/>
                <w:sz w:val="20"/>
                <w:szCs w:val="20"/>
              </w:rPr>
              <w:t>F1</w:t>
            </w:r>
          </w:p>
        </w:tc>
        <w:tc>
          <w:tcPr>
            <w:tcW w:w="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5A078AED">
            <w:pPr>
              <w:jc w:val="center"/>
              <w:rPr>
                <w:b w:val="0"/>
                <w:bCs w:val="0"/>
              </w:rPr>
            </w:pPr>
            <w:r>
              <w:rPr>
                <w:rFonts w:ascii="Arial" w:hAnsi="Arial" w:eastAsia="Arial" w:cs="Arial"/>
                <w:b w:val="0"/>
                <w:bCs w:val="0"/>
                <w:color w:val="FFFFFF"/>
                <w:sz w:val="20"/>
                <w:szCs w:val="20"/>
              </w:rPr>
              <w:t>AUC</w:t>
            </w:r>
          </w:p>
        </w:tc>
        <w:tc>
          <w:tcPr>
            <w:tcW w:w="10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2C71FCE5">
            <w:pPr>
              <w:jc w:val="center"/>
              <w:rPr>
                <w:b w:val="0"/>
                <w:bCs w:val="0"/>
              </w:rPr>
            </w:pPr>
            <w:r>
              <w:rPr>
                <w:rFonts w:ascii="Arial" w:hAnsi="Arial" w:eastAsia="Arial" w:cs="Arial"/>
                <w:b w:val="0"/>
                <w:bCs w:val="0"/>
                <w:color w:val="FFFFFF"/>
                <w:sz w:val="20"/>
                <w:szCs w:val="20"/>
              </w:rPr>
              <w:t>正例/总</w:t>
            </w:r>
          </w:p>
        </w:tc>
        <w:tc>
          <w:tcPr>
            <w:tcW w:w="1026"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42EDAED9">
            <w:pPr>
              <w:jc w:val="center"/>
              <w:rPr>
                <w:b w:val="0"/>
                <w:bCs w:val="0"/>
              </w:rPr>
            </w:pPr>
            <w:r>
              <w:rPr>
                <w:rFonts w:ascii="Arial" w:hAnsi="Arial" w:eastAsia="Arial" w:cs="Arial"/>
                <w:b w:val="0"/>
                <w:bCs w:val="0"/>
                <w:color w:val="FFFFFF"/>
                <w:sz w:val="20"/>
                <w:szCs w:val="20"/>
              </w:rPr>
              <w:t>性能评级</w:t>
            </w:r>
          </w:p>
        </w:tc>
      </w:tr>
      <w:tr w14:paraId="767C7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6C4CBD0">
            <w:pPr>
              <w:jc w:val="left"/>
              <w:rPr>
                <w:b w:val="0"/>
                <w:bCs w:val="0"/>
              </w:rPr>
            </w:pPr>
            <w:r>
              <w:rPr>
                <w:rFonts w:ascii="Arial" w:hAnsi="Arial" w:eastAsia="Arial" w:cs="Arial"/>
                <w:b w:val="0"/>
                <w:bCs w:val="0"/>
                <w:sz w:val="20"/>
                <w:szCs w:val="20"/>
              </w:rPr>
              <w:t>theorem</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0B09874">
            <w:pPr>
              <w:jc w:val="center"/>
              <w:rPr>
                <w:b w:val="0"/>
                <w:bCs w:val="0"/>
              </w:rPr>
            </w:pPr>
            <w:r>
              <w:rPr>
                <w:rFonts w:ascii="Arial" w:hAnsi="Arial" w:eastAsia="Arial" w:cs="Arial"/>
                <w:b w:val="0"/>
                <w:bCs w:val="0"/>
                <w:sz w:val="20"/>
                <w:szCs w:val="20"/>
              </w:rPr>
              <w:t>0.654</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74EA731">
            <w:pPr>
              <w:jc w:val="center"/>
              <w:rPr>
                <w:b w:val="0"/>
                <w:bCs w:val="0"/>
              </w:rPr>
            </w:pPr>
            <w:r>
              <w:rPr>
                <w:rFonts w:ascii="Arial" w:hAnsi="Arial" w:eastAsia="Arial" w:cs="Arial"/>
                <w:b w:val="0"/>
                <w:bCs w:val="0"/>
                <w:sz w:val="20"/>
                <w:szCs w:val="20"/>
              </w:rPr>
              <w:t>0.715</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7AD850D">
            <w:pPr>
              <w:jc w:val="center"/>
              <w:rPr>
                <w:b w:val="0"/>
                <w:bCs w:val="0"/>
              </w:rPr>
            </w:pPr>
            <w:r>
              <w:rPr>
                <w:rFonts w:ascii="Arial" w:hAnsi="Arial" w:eastAsia="Arial" w:cs="Arial"/>
                <w:b w:val="0"/>
                <w:bCs w:val="0"/>
                <w:sz w:val="20"/>
                <w:szCs w:val="20"/>
              </w:rPr>
              <w:t>0.533</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449AF16">
            <w:pPr>
              <w:jc w:val="center"/>
              <w:rPr>
                <w:b w:val="0"/>
                <w:bCs w:val="0"/>
              </w:rPr>
            </w:pPr>
            <w:r>
              <w:rPr>
                <w:rFonts w:ascii="Arial" w:hAnsi="Arial" w:eastAsia="Arial" w:cs="Arial"/>
                <w:b w:val="0"/>
                <w:bCs w:val="0"/>
                <w:sz w:val="20"/>
                <w:szCs w:val="20"/>
              </w:rPr>
              <w:t>0.611</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6D7A9D2">
            <w:pPr>
              <w:jc w:val="center"/>
              <w:rPr>
                <w:b w:val="0"/>
                <w:bCs w:val="0"/>
              </w:rPr>
            </w:pPr>
            <w:r>
              <w:rPr>
                <w:rFonts w:ascii="Arial" w:hAnsi="Arial" w:eastAsia="Arial" w:cs="Arial"/>
                <w:b w:val="0"/>
                <w:bCs w:val="0"/>
                <w:sz w:val="20"/>
                <w:szCs w:val="20"/>
              </w:rPr>
              <w:t>0.710</w:t>
            </w:r>
          </w:p>
        </w:tc>
        <w:tc>
          <w:tcPr>
            <w:tcW w:w="1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8C60E5E">
            <w:pPr>
              <w:jc w:val="center"/>
              <w:rPr>
                <w:b w:val="0"/>
                <w:bCs w:val="0"/>
              </w:rPr>
            </w:pPr>
            <w:r>
              <w:rPr>
                <w:rFonts w:ascii="Arial" w:hAnsi="Arial" w:eastAsia="Arial" w:cs="Arial"/>
                <w:b w:val="0"/>
                <w:bCs w:val="0"/>
                <w:sz w:val="20"/>
                <w:szCs w:val="20"/>
              </w:rPr>
              <w:t>465/913</w:t>
            </w:r>
          </w:p>
        </w:tc>
        <w:tc>
          <w:tcPr>
            <w:tcW w:w="1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858CD6F">
            <w:pPr>
              <w:jc w:val="center"/>
              <w:rPr>
                <w:b w:val="0"/>
                <w:bCs w:val="0"/>
              </w:rPr>
            </w:pPr>
            <w:r>
              <w:rPr>
                <w:rFonts w:ascii="Arial" w:hAnsi="Arial" w:eastAsia="Arial" w:cs="Arial"/>
                <w:b w:val="0"/>
                <w:bCs w:val="0"/>
                <w:sz w:val="20"/>
                <w:szCs w:val="20"/>
              </w:rPr>
              <w:t>中等</w:t>
            </w:r>
          </w:p>
        </w:tc>
      </w:tr>
      <w:tr w14:paraId="439E3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6E2A469">
            <w:pPr>
              <w:jc w:val="left"/>
              <w:rPr>
                <w:b w:val="0"/>
                <w:bCs w:val="0"/>
              </w:rPr>
            </w:pPr>
            <w:r>
              <w:rPr>
                <w:rFonts w:ascii="Arial" w:hAnsi="Arial" w:eastAsia="Arial" w:cs="Arial"/>
                <w:b w:val="0"/>
                <w:bCs w:val="0"/>
                <w:sz w:val="20"/>
                <w:szCs w:val="20"/>
              </w:rPr>
              <w:t>definition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2BF364D">
            <w:pPr>
              <w:jc w:val="center"/>
              <w:rPr>
                <w:b w:val="0"/>
                <w:bCs w:val="0"/>
              </w:rPr>
            </w:pPr>
            <w:r>
              <w:rPr>
                <w:rFonts w:ascii="Arial" w:hAnsi="Arial" w:eastAsia="Arial" w:cs="Arial"/>
                <w:b w:val="0"/>
                <w:bCs w:val="0"/>
                <w:sz w:val="20"/>
                <w:szCs w:val="20"/>
              </w:rPr>
              <w:t>0.660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A368E1F">
            <w:pPr>
              <w:jc w:val="center"/>
              <w:rPr>
                <w:b w:val="0"/>
                <w:bCs w:val="0"/>
              </w:rPr>
            </w:pPr>
            <w:r>
              <w:rPr>
                <w:rFonts w:ascii="Arial" w:hAnsi="Arial" w:eastAsia="Arial" w:cs="Arial"/>
                <w:b w:val="0"/>
                <w:bCs w:val="0"/>
                <w:sz w:val="20"/>
                <w:szCs w:val="20"/>
              </w:rPr>
              <w:t>0.142</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366939F">
            <w:pPr>
              <w:jc w:val="center"/>
              <w:rPr>
                <w:b w:val="0"/>
                <w:bCs w:val="0"/>
              </w:rPr>
            </w:pPr>
            <w:r>
              <w:rPr>
                <w:rFonts w:ascii="Arial" w:hAnsi="Arial" w:eastAsia="Arial" w:cs="Arial"/>
                <w:b w:val="0"/>
                <w:bCs w:val="0"/>
                <w:sz w:val="20"/>
                <w:szCs w:val="20"/>
              </w:rPr>
              <w:t>0.494</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60F3173">
            <w:pPr>
              <w:jc w:val="center"/>
              <w:rPr>
                <w:b w:val="0"/>
                <w:bCs w:val="0"/>
              </w:rPr>
            </w:pPr>
            <w:r>
              <w:rPr>
                <w:rFonts w:ascii="Arial" w:hAnsi="Arial" w:eastAsia="Arial" w:cs="Arial"/>
                <w:b w:val="0"/>
                <w:bCs w:val="0"/>
                <w:sz w:val="20"/>
                <w:szCs w:val="20"/>
              </w:rPr>
              <w:t>0.221</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00AF32F">
            <w:pPr>
              <w:jc w:val="center"/>
              <w:rPr>
                <w:b w:val="0"/>
                <w:bCs w:val="0"/>
              </w:rPr>
            </w:pPr>
            <w:r>
              <w:rPr>
                <w:rFonts w:ascii="Arial" w:hAnsi="Arial" w:eastAsia="Arial" w:cs="Arial"/>
                <w:b w:val="0"/>
                <w:bCs w:val="0"/>
                <w:sz w:val="20"/>
                <w:szCs w:val="20"/>
              </w:rPr>
              <w:t>0.584</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9A36FFE">
            <w:pPr>
              <w:jc w:val="center"/>
              <w:rPr>
                <w:b w:val="0"/>
                <w:bCs w:val="0"/>
              </w:rPr>
            </w:pPr>
            <w:r>
              <w:rPr>
                <w:rFonts w:ascii="Arial" w:hAnsi="Arial" w:eastAsia="Arial" w:cs="Arial"/>
                <w:b w:val="0"/>
                <w:bCs w:val="0"/>
                <w:sz w:val="20"/>
                <w:szCs w:val="20"/>
              </w:rPr>
              <w:t>89/913</w:t>
            </w:r>
          </w:p>
        </w:tc>
        <w:tc>
          <w:tcPr>
            <w:tcW w:w="1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E1CE28D">
            <w:pPr>
              <w:jc w:val="center"/>
              <w:rPr>
                <w:b w:val="0"/>
                <w:bCs w:val="0"/>
              </w:rPr>
            </w:pPr>
            <w:r>
              <w:rPr>
                <w:rFonts w:ascii="Arial" w:hAnsi="Arial" w:eastAsia="Arial" w:cs="Arial"/>
                <w:b w:val="0"/>
                <w:bCs w:val="0"/>
                <w:sz w:val="20"/>
                <w:szCs w:val="20"/>
              </w:rPr>
              <w:t>受限</w:t>
            </w:r>
          </w:p>
        </w:tc>
      </w:tr>
      <w:tr w14:paraId="7E11B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CEC3159">
            <w:pPr>
              <w:jc w:val="left"/>
              <w:rPr>
                <w:b w:val="0"/>
                <w:bCs w:val="0"/>
              </w:rPr>
            </w:pPr>
            <w:r>
              <w:rPr>
                <w:rFonts w:ascii="Arial" w:hAnsi="Arial" w:eastAsia="Arial" w:cs="Arial"/>
                <w:b w:val="0"/>
                <w:bCs w:val="0"/>
                <w:sz w:val="20"/>
                <w:szCs w:val="20"/>
              </w:rPr>
              <w:t>empty</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15B6132">
            <w:pPr>
              <w:jc w:val="center"/>
              <w:rPr>
                <w:b w:val="0"/>
                <w:bCs w:val="0"/>
              </w:rPr>
            </w:pPr>
            <w:r>
              <w:rPr>
                <w:rFonts w:ascii="Arial" w:hAnsi="Arial" w:eastAsia="Arial" w:cs="Arial"/>
                <w:b w:val="0"/>
                <w:bCs w:val="0"/>
                <w:sz w:val="20"/>
                <w:szCs w:val="20"/>
              </w:rPr>
              <w:t>1.000</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9B80816">
            <w:pPr>
              <w:jc w:val="center"/>
              <w:rPr>
                <w:b w:val="0"/>
                <w:bCs w:val="0"/>
              </w:rPr>
            </w:pPr>
            <w:r>
              <w:rPr>
                <w:rFonts w:ascii="Arial" w:hAnsi="Arial" w:eastAsia="Arial" w:cs="Arial"/>
                <w:b w:val="0"/>
                <w:bCs w:val="0"/>
                <w:sz w:val="20"/>
                <w:szCs w:val="20"/>
              </w:rPr>
              <w:t>1.000</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3AB61CB">
            <w:pPr>
              <w:jc w:val="center"/>
              <w:rPr>
                <w:b w:val="0"/>
                <w:bCs w:val="0"/>
              </w:rPr>
            </w:pPr>
            <w:r>
              <w:rPr>
                <w:rFonts w:ascii="Arial" w:hAnsi="Arial" w:eastAsia="Arial" w:cs="Arial"/>
                <w:b w:val="0"/>
                <w:bCs w:val="0"/>
                <w:sz w:val="20"/>
                <w:szCs w:val="20"/>
              </w:rPr>
              <w:t>1.000</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C9C1FA5">
            <w:pPr>
              <w:jc w:val="center"/>
              <w:rPr>
                <w:b w:val="0"/>
                <w:bCs w:val="0"/>
              </w:rPr>
            </w:pPr>
            <w:r>
              <w:rPr>
                <w:rFonts w:ascii="Arial" w:hAnsi="Arial" w:eastAsia="Arial" w:cs="Arial"/>
                <w:b w:val="0"/>
                <w:bCs w:val="0"/>
                <w:sz w:val="20"/>
                <w:szCs w:val="20"/>
              </w:rPr>
              <w:t>1.000</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D6C52EB">
            <w:pPr>
              <w:jc w:val="center"/>
              <w:rPr>
                <w:b w:val="0"/>
                <w:bCs w:val="0"/>
              </w:rPr>
            </w:pPr>
            <w:r>
              <w:rPr>
                <w:rFonts w:ascii="Arial" w:hAnsi="Arial" w:eastAsia="Arial" w:cs="Arial"/>
                <w:b w:val="0"/>
                <w:bCs w:val="0"/>
                <w:sz w:val="20"/>
                <w:szCs w:val="20"/>
              </w:rPr>
              <w:t>1.000</w:t>
            </w:r>
          </w:p>
        </w:tc>
        <w:tc>
          <w:tcPr>
            <w:tcW w:w="1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E51DFB6">
            <w:pPr>
              <w:jc w:val="center"/>
              <w:rPr>
                <w:b w:val="0"/>
                <w:bCs w:val="0"/>
              </w:rPr>
            </w:pPr>
            <w:r>
              <w:rPr>
                <w:rFonts w:ascii="Arial" w:hAnsi="Arial" w:eastAsia="Arial" w:cs="Arial"/>
                <w:b w:val="0"/>
                <w:bCs w:val="0"/>
                <w:sz w:val="20"/>
                <w:szCs w:val="20"/>
              </w:rPr>
              <w:t>110/913</w:t>
            </w:r>
          </w:p>
        </w:tc>
        <w:tc>
          <w:tcPr>
            <w:tcW w:w="1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31D1D23">
            <w:pPr>
              <w:jc w:val="center"/>
              <w:rPr>
                <w:b w:val="0"/>
                <w:bCs w:val="0"/>
              </w:rPr>
            </w:pPr>
            <w:r>
              <w:rPr>
                <w:rFonts w:ascii="Arial" w:hAnsi="Arial" w:eastAsia="Arial" w:cs="Arial"/>
                <w:b w:val="0"/>
                <w:bCs w:val="0"/>
                <w:sz w:val="20"/>
                <w:szCs w:val="20"/>
              </w:rPr>
              <w:t xml:space="preserve">完美 </w:t>
            </w:r>
          </w:p>
        </w:tc>
      </w:tr>
      <w:tr w14:paraId="2D133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23879CC">
            <w:pPr>
              <w:jc w:val="left"/>
              <w:rPr>
                <w:b w:val="0"/>
                <w:bCs w:val="0"/>
              </w:rPr>
            </w:pPr>
            <w:r>
              <w:rPr>
                <w:rFonts w:ascii="Arial" w:hAnsi="Arial" w:eastAsia="Arial" w:cs="Arial"/>
                <w:b w:val="0"/>
                <w:bCs w:val="0"/>
                <w:sz w:val="20"/>
                <w:szCs w:val="20"/>
              </w:rPr>
              <w:t>setrel</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54DCD53">
            <w:pPr>
              <w:jc w:val="center"/>
              <w:rPr>
                <w:b w:val="0"/>
                <w:bCs w:val="0"/>
              </w:rPr>
            </w:pPr>
            <w:r>
              <w:rPr>
                <w:rFonts w:ascii="Arial" w:hAnsi="Arial" w:eastAsia="Arial" w:cs="Arial"/>
                <w:b w:val="0"/>
                <w:bCs w:val="0"/>
                <w:sz w:val="20"/>
                <w:szCs w:val="20"/>
              </w:rPr>
              <w:t>0.999</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287254B">
            <w:pPr>
              <w:jc w:val="center"/>
              <w:rPr>
                <w:b w:val="0"/>
                <w:bCs w:val="0"/>
              </w:rPr>
            </w:pPr>
            <w:r>
              <w:rPr>
                <w:rFonts w:ascii="Arial" w:hAnsi="Arial" w:eastAsia="Arial" w:cs="Arial"/>
                <w:b w:val="0"/>
                <w:bCs w:val="0"/>
                <w:sz w:val="20"/>
                <w:szCs w:val="20"/>
              </w:rPr>
              <w:t>1.000</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397A4E3">
            <w:pPr>
              <w:jc w:val="center"/>
              <w:rPr>
                <w:b w:val="0"/>
                <w:bCs w:val="0"/>
              </w:rPr>
            </w:pPr>
            <w:r>
              <w:rPr>
                <w:rFonts w:ascii="Arial" w:hAnsi="Arial" w:eastAsia="Arial" w:cs="Arial"/>
                <w:b w:val="0"/>
                <w:bCs w:val="0"/>
                <w:sz w:val="20"/>
                <w:szCs w:val="20"/>
              </w:rPr>
              <w:t>0.996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4D8EEC">
            <w:pPr>
              <w:jc w:val="center"/>
              <w:rPr>
                <w:b w:val="0"/>
                <w:bCs w:val="0"/>
              </w:rPr>
            </w:pPr>
            <w:r>
              <w:rPr>
                <w:rFonts w:ascii="Arial" w:hAnsi="Arial" w:eastAsia="Arial" w:cs="Arial"/>
                <w:b w:val="0"/>
                <w:bCs w:val="0"/>
                <w:sz w:val="20"/>
                <w:szCs w:val="20"/>
              </w:rPr>
              <w:t>0.998</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AC35906">
            <w:pPr>
              <w:jc w:val="center"/>
              <w:rPr>
                <w:b w:val="0"/>
                <w:bCs w:val="0"/>
              </w:rPr>
            </w:pPr>
            <w:r>
              <w:rPr>
                <w:rFonts w:ascii="Arial" w:hAnsi="Arial" w:eastAsia="Arial" w:cs="Arial"/>
                <w:b w:val="0"/>
                <w:bCs w:val="0"/>
                <w:sz w:val="20"/>
                <w:szCs w:val="20"/>
              </w:rPr>
              <w:t>1.000</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0146B28">
            <w:pPr>
              <w:jc w:val="center"/>
              <w:rPr>
                <w:b w:val="0"/>
                <w:bCs w:val="0"/>
              </w:rPr>
            </w:pPr>
            <w:r>
              <w:rPr>
                <w:rFonts w:ascii="Arial" w:hAnsi="Arial" w:eastAsia="Arial" w:cs="Arial"/>
                <w:b w:val="0"/>
                <w:bCs w:val="0"/>
                <w:sz w:val="20"/>
                <w:szCs w:val="20"/>
              </w:rPr>
              <w:t>282/913</w:t>
            </w:r>
          </w:p>
        </w:tc>
        <w:tc>
          <w:tcPr>
            <w:tcW w:w="1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6CC5671">
            <w:pPr>
              <w:jc w:val="center"/>
              <w:rPr>
                <w:b w:val="0"/>
                <w:bCs w:val="0"/>
              </w:rPr>
            </w:pPr>
            <w:r>
              <w:rPr>
                <w:rFonts w:ascii="Arial" w:hAnsi="Arial" w:eastAsia="Arial" w:cs="Arial"/>
                <w:b w:val="0"/>
                <w:bCs w:val="0"/>
                <w:sz w:val="20"/>
                <w:szCs w:val="20"/>
              </w:rPr>
              <w:t>完美</w:t>
            </w:r>
          </w:p>
        </w:tc>
      </w:tr>
      <w:tr w14:paraId="69DB2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2ED760B">
            <w:pPr>
              <w:jc w:val="left"/>
              <w:rPr>
                <w:b w:val="0"/>
                <w:bCs w:val="0"/>
              </w:rPr>
            </w:pPr>
            <w:r>
              <w:rPr>
                <w:rFonts w:ascii="Arial" w:hAnsi="Arial" w:eastAsia="Arial" w:cs="Arial"/>
                <w:b w:val="0"/>
                <w:bCs w:val="0"/>
                <w:sz w:val="20"/>
                <w:szCs w:val="20"/>
              </w:rPr>
              <w:t>commut</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97F33E6">
            <w:pPr>
              <w:jc w:val="center"/>
              <w:rPr>
                <w:b w:val="0"/>
                <w:bCs w:val="0"/>
              </w:rPr>
            </w:pPr>
            <w:r>
              <w:rPr>
                <w:rFonts w:ascii="Arial" w:hAnsi="Arial" w:eastAsia="Arial" w:cs="Arial"/>
                <w:b w:val="0"/>
                <w:bCs w:val="0"/>
                <w:sz w:val="20"/>
                <w:szCs w:val="20"/>
              </w:rPr>
              <w:t>0.867</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047E1C0">
            <w:pPr>
              <w:jc w:val="center"/>
              <w:rPr>
                <w:b w:val="0"/>
                <w:bCs w:val="0"/>
              </w:rPr>
            </w:pPr>
            <w:r>
              <w:rPr>
                <w:rFonts w:ascii="Arial" w:hAnsi="Arial" w:eastAsia="Arial" w:cs="Arial"/>
                <w:b w:val="0"/>
                <w:bCs w:val="0"/>
                <w:sz w:val="20"/>
                <w:szCs w:val="20"/>
              </w:rPr>
              <w:t>0.040</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077CF85">
            <w:pPr>
              <w:jc w:val="center"/>
              <w:rPr>
                <w:b w:val="0"/>
                <w:bCs w:val="0"/>
              </w:rPr>
            </w:pPr>
            <w:r>
              <w:rPr>
                <w:rFonts w:ascii="Arial" w:hAnsi="Arial" w:eastAsia="Arial" w:cs="Arial"/>
                <w:b w:val="0"/>
                <w:bCs w:val="0"/>
                <w:sz w:val="20"/>
                <w:szCs w:val="20"/>
              </w:rPr>
              <w:t>0.714</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A57F4B5">
            <w:pPr>
              <w:jc w:val="center"/>
              <w:rPr>
                <w:b w:val="0"/>
                <w:bCs w:val="0"/>
              </w:rPr>
            </w:pPr>
            <w:r>
              <w:rPr>
                <w:rFonts w:ascii="Arial" w:hAnsi="Arial" w:eastAsia="Arial" w:cs="Arial"/>
                <w:b w:val="0"/>
                <w:bCs w:val="0"/>
                <w:sz w:val="20"/>
                <w:szCs w:val="20"/>
              </w:rPr>
              <w:t>0.076</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73F0E60">
            <w:pPr>
              <w:jc w:val="center"/>
              <w:rPr>
                <w:b w:val="0"/>
                <w:bCs w:val="0"/>
              </w:rPr>
            </w:pPr>
            <w:r>
              <w:rPr>
                <w:rFonts w:ascii="Arial" w:hAnsi="Arial" w:eastAsia="Arial" w:cs="Arial"/>
                <w:b w:val="0"/>
                <w:bCs w:val="0"/>
                <w:sz w:val="20"/>
                <w:szCs w:val="20"/>
              </w:rPr>
              <w:t>0.832</w:t>
            </w:r>
          </w:p>
        </w:tc>
        <w:tc>
          <w:tcPr>
            <w:tcW w:w="1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8782F20">
            <w:pPr>
              <w:jc w:val="center"/>
              <w:rPr>
                <w:b w:val="0"/>
                <w:bCs w:val="0"/>
              </w:rPr>
            </w:pPr>
            <w:r>
              <w:rPr>
                <w:rFonts w:ascii="Arial" w:hAnsi="Arial" w:eastAsia="Arial" w:cs="Arial"/>
                <w:b w:val="0"/>
                <w:bCs w:val="0"/>
                <w:sz w:val="20"/>
                <w:szCs w:val="20"/>
              </w:rPr>
              <w:t>7/913</w:t>
            </w:r>
          </w:p>
        </w:tc>
        <w:tc>
          <w:tcPr>
            <w:tcW w:w="1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A329B50">
            <w:pPr>
              <w:jc w:val="center"/>
              <w:rPr>
                <w:b w:val="0"/>
                <w:bCs w:val="0"/>
              </w:rPr>
            </w:pPr>
            <w:r>
              <w:rPr>
                <w:rFonts w:ascii="Arial" w:hAnsi="Arial" w:eastAsia="Arial" w:cs="Arial"/>
                <w:b w:val="0"/>
                <w:bCs w:val="0"/>
                <w:sz w:val="20"/>
                <w:szCs w:val="20"/>
              </w:rPr>
              <w:t>排序良好</w:t>
            </w:r>
          </w:p>
        </w:tc>
      </w:tr>
      <w:tr w14:paraId="0A68E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57B2C33">
            <w:pPr>
              <w:jc w:val="left"/>
              <w:rPr>
                <w:b w:val="0"/>
                <w:bCs w:val="0"/>
              </w:rPr>
            </w:pPr>
            <w:r>
              <w:rPr>
                <w:rFonts w:ascii="Arial" w:hAnsi="Arial" w:eastAsia="Arial" w:cs="Arial"/>
                <w:b w:val="0"/>
                <w:bCs w:val="0"/>
                <w:sz w:val="20"/>
                <w:szCs w:val="20"/>
              </w:rPr>
              <w:t>functor</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702613D">
            <w:pPr>
              <w:jc w:val="center"/>
              <w:rPr>
                <w:b w:val="0"/>
                <w:bCs w:val="0"/>
              </w:rPr>
            </w:pPr>
            <w:r>
              <w:rPr>
                <w:rFonts w:ascii="Arial" w:hAnsi="Arial" w:eastAsia="Arial" w:cs="Arial"/>
                <w:b w:val="0"/>
                <w:bCs w:val="0"/>
                <w:sz w:val="20"/>
                <w:szCs w:val="20"/>
              </w:rPr>
              <w:t>0.966</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217EBCB">
            <w:pPr>
              <w:jc w:val="center"/>
              <w:rPr>
                <w:b w:val="0"/>
                <w:bCs w:val="0"/>
              </w:rPr>
            </w:pPr>
            <w:r>
              <w:rPr>
                <w:rFonts w:ascii="Arial" w:hAnsi="Arial" w:eastAsia="Arial" w:cs="Arial"/>
                <w:b w:val="0"/>
                <w:bCs w:val="0"/>
                <w:sz w:val="20"/>
                <w:szCs w:val="20"/>
              </w:rPr>
              <w:t>0.997</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34C7851">
            <w:pPr>
              <w:jc w:val="center"/>
              <w:rPr>
                <w:b w:val="0"/>
                <w:bCs w:val="0"/>
              </w:rPr>
            </w:pPr>
            <w:r>
              <w:rPr>
                <w:rFonts w:ascii="Arial" w:hAnsi="Arial" w:eastAsia="Arial" w:cs="Arial"/>
                <w:b w:val="0"/>
                <w:bCs w:val="0"/>
                <w:sz w:val="20"/>
                <w:szCs w:val="20"/>
              </w:rPr>
              <w:t>0.961</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5E9C197">
            <w:pPr>
              <w:jc w:val="center"/>
              <w:rPr>
                <w:b w:val="0"/>
                <w:bCs w:val="0"/>
              </w:rPr>
            </w:pPr>
            <w:r>
              <w:rPr>
                <w:rFonts w:ascii="Arial" w:hAnsi="Arial" w:eastAsia="Arial" w:cs="Arial"/>
                <w:b w:val="0"/>
                <w:bCs w:val="0"/>
                <w:sz w:val="20"/>
                <w:szCs w:val="20"/>
              </w:rPr>
              <w:t>0.979</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25B88D6">
            <w:pPr>
              <w:jc w:val="center"/>
              <w:rPr>
                <w:b w:val="0"/>
                <w:bCs w:val="0"/>
              </w:rPr>
            </w:pPr>
            <w:r>
              <w:rPr>
                <w:rFonts w:ascii="Arial" w:hAnsi="Arial" w:eastAsia="Arial" w:cs="Arial"/>
                <w:b w:val="0"/>
                <w:bCs w:val="0"/>
                <w:sz w:val="20"/>
                <w:szCs w:val="20"/>
              </w:rPr>
              <w:t>0.992</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201E184">
            <w:pPr>
              <w:jc w:val="center"/>
              <w:rPr>
                <w:b w:val="0"/>
                <w:bCs w:val="0"/>
              </w:rPr>
            </w:pPr>
            <w:r>
              <w:rPr>
                <w:rFonts w:ascii="Arial" w:hAnsi="Arial" w:eastAsia="Arial" w:cs="Arial"/>
                <w:b w:val="0"/>
                <w:bCs w:val="0"/>
                <w:sz w:val="20"/>
                <w:szCs w:val="20"/>
              </w:rPr>
              <w:t>743/913</w:t>
            </w:r>
          </w:p>
        </w:tc>
        <w:tc>
          <w:tcPr>
            <w:tcW w:w="10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DB8D499">
            <w:pPr>
              <w:jc w:val="center"/>
              <w:rPr>
                <w:b w:val="0"/>
                <w:bCs w:val="0"/>
              </w:rPr>
            </w:pPr>
            <w:r>
              <w:rPr>
                <w:rFonts w:ascii="Arial" w:hAnsi="Arial" w:eastAsia="Arial" w:cs="Arial"/>
                <w:b w:val="0"/>
                <w:bCs w:val="0"/>
                <w:sz w:val="20"/>
                <w:szCs w:val="20"/>
              </w:rPr>
              <w:t>优秀 ★</w:t>
            </w:r>
          </w:p>
        </w:tc>
      </w:tr>
      <w:tr w14:paraId="4BC54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208D63A">
            <w:pPr>
              <w:jc w:val="left"/>
              <w:rPr>
                <w:b w:val="0"/>
                <w:bCs w:val="0"/>
              </w:rPr>
            </w:pPr>
            <w:r>
              <w:rPr>
                <w:rFonts w:ascii="Arial" w:hAnsi="Arial" w:eastAsia="Arial" w:cs="Arial"/>
                <w:b w:val="0"/>
                <w:bCs w:val="0"/>
                <w:sz w:val="20"/>
                <w:szCs w:val="20"/>
              </w:rPr>
              <w:t>manysym</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EC78785">
            <w:pPr>
              <w:jc w:val="center"/>
              <w:rPr>
                <w:b w:val="0"/>
                <w:bCs w:val="0"/>
              </w:rPr>
            </w:pPr>
            <w:r>
              <w:rPr>
                <w:rFonts w:ascii="Arial" w:hAnsi="Arial" w:eastAsia="Arial" w:cs="Arial"/>
                <w:b w:val="0"/>
                <w:bCs w:val="0"/>
                <w:sz w:val="20"/>
                <w:szCs w:val="20"/>
              </w:rPr>
              <w:t>0.938</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3F6A5DD">
            <w:pPr>
              <w:jc w:val="center"/>
              <w:rPr>
                <w:b w:val="0"/>
                <w:bCs w:val="0"/>
              </w:rPr>
            </w:pPr>
            <w:r>
              <w:rPr>
                <w:rFonts w:ascii="Arial" w:hAnsi="Arial" w:eastAsia="Arial" w:cs="Arial"/>
                <w:b w:val="0"/>
                <w:bCs w:val="0"/>
                <w:sz w:val="20"/>
                <w:szCs w:val="20"/>
              </w:rPr>
              <w:t>0.929</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9EDC01C">
            <w:pPr>
              <w:jc w:val="center"/>
              <w:rPr>
                <w:b w:val="0"/>
                <w:bCs w:val="0"/>
              </w:rPr>
            </w:pPr>
            <w:r>
              <w:rPr>
                <w:rFonts w:ascii="Arial" w:hAnsi="Arial" w:eastAsia="Arial" w:cs="Arial"/>
                <w:b w:val="0"/>
                <w:bCs w:val="0"/>
                <w:sz w:val="20"/>
                <w:szCs w:val="20"/>
              </w:rPr>
              <w:t>0.927</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3CFAC00">
            <w:pPr>
              <w:jc w:val="center"/>
              <w:rPr>
                <w:b w:val="0"/>
                <w:bCs w:val="0"/>
              </w:rPr>
            </w:pPr>
            <w:r>
              <w:rPr>
                <w:rFonts w:ascii="Arial" w:hAnsi="Arial" w:eastAsia="Arial" w:cs="Arial"/>
                <w:b w:val="0"/>
                <w:bCs w:val="0"/>
                <w:sz w:val="20"/>
                <w:szCs w:val="20"/>
              </w:rPr>
              <w:t>0.928</w:t>
            </w:r>
          </w:p>
        </w:tc>
        <w:tc>
          <w:tcPr>
            <w:tcW w:w="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318960B">
            <w:pPr>
              <w:jc w:val="center"/>
              <w:rPr>
                <w:b w:val="0"/>
                <w:bCs w:val="0"/>
              </w:rPr>
            </w:pPr>
            <w:r>
              <w:rPr>
                <w:rFonts w:ascii="Arial" w:hAnsi="Arial" w:eastAsia="Arial" w:cs="Arial"/>
                <w:b w:val="0"/>
                <w:bCs w:val="0"/>
                <w:sz w:val="20"/>
                <w:szCs w:val="20"/>
              </w:rPr>
              <w:t>0.977</w:t>
            </w:r>
          </w:p>
        </w:tc>
        <w:tc>
          <w:tcPr>
            <w:tcW w:w="1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F052F00">
            <w:pPr>
              <w:jc w:val="center"/>
              <w:rPr>
                <w:b w:val="0"/>
                <w:bCs w:val="0"/>
              </w:rPr>
            </w:pPr>
            <w:r>
              <w:rPr>
                <w:rFonts w:ascii="Arial" w:hAnsi="Arial" w:eastAsia="Arial" w:cs="Arial"/>
                <w:b w:val="0"/>
                <w:bCs w:val="0"/>
                <w:sz w:val="20"/>
                <w:szCs w:val="20"/>
              </w:rPr>
              <w:t>395/913</w:t>
            </w:r>
          </w:p>
        </w:tc>
        <w:tc>
          <w:tcPr>
            <w:tcW w:w="10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1697402">
            <w:pPr>
              <w:jc w:val="center"/>
              <w:rPr>
                <w:b w:val="0"/>
                <w:bCs w:val="0"/>
              </w:rPr>
            </w:pPr>
            <w:r>
              <w:rPr>
                <w:rFonts w:ascii="Arial" w:hAnsi="Arial" w:eastAsia="Arial" w:cs="Arial"/>
                <w:b w:val="0"/>
                <w:bCs w:val="0"/>
                <w:sz w:val="20"/>
                <w:szCs w:val="20"/>
              </w:rPr>
              <w:t xml:space="preserve">优秀 </w:t>
            </w:r>
          </w:p>
        </w:tc>
      </w:tr>
    </w:tbl>
    <w:p w14:paraId="29CD7C8E">
      <w:pPr>
        <w:pStyle w:val="4"/>
        <w:bidi w:val="0"/>
      </w:pPr>
    </w:p>
    <w:p w14:paraId="6F2B7765">
      <w:pPr>
        <w:pStyle w:val="4"/>
        <w:bidi w:val="0"/>
      </w:pPr>
      <w:r>
        <w:t>6.3 逻辑规则满足度</w:t>
      </w:r>
    </w:p>
    <w:p w14:paraId="03D696B0">
      <w:pPr>
        <w:spacing w:before="60" w:after="120"/>
        <w:jc w:val="center"/>
      </w:pPr>
      <w:r>
        <w:rPr>
          <w:rFonts w:ascii="Arial" w:hAnsi="Arial" w:eastAsia="Arial" w:cs="Arial"/>
          <w:b/>
          <w:bCs/>
          <w:i w:val="0"/>
          <w:iCs w:val="0"/>
          <w:color w:val="000000" w:themeColor="text1"/>
          <w:sz w:val="20"/>
          <w:szCs w:val="20"/>
          <w14:textFill>
            <w14:solidFill>
              <w14:schemeClr w14:val="tx1"/>
            </w14:solidFill>
          </w14:textFill>
        </w:rPr>
        <w:t>表 6.3  训练末与测试集的逻辑规则满足度对比</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000"/>
        <w:gridCol w:w="1500"/>
        <w:gridCol w:w="1500"/>
        <w:gridCol w:w="3326"/>
      </w:tblGrid>
      <w:tr w14:paraId="66BFF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28E50D1F">
            <w:pPr>
              <w:jc w:val="center"/>
              <w:rPr>
                <w:b w:val="0"/>
                <w:bCs w:val="0"/>
              </w:rPr>
            </w:pPr>
            <w:r>
              <w:rPr>
                <w:rFonts w:ascii="Arial" w:hAnsi="Arial" w:eastAsia="Arial" w:cs="Arial"/>
                <w:b w:val="0"/>
                <w:bCs w:val="0"/>
                <w:color w:val="FFFFFF"/>
                <w:sz w:val="20"/>
                <w:szCs w:val="20"/>
              </w:rPr>
              <w:t>规则</w:t>
            </w:r>
          </w:p>
        </w:tc>
        <w:tc>
          <w:tcPr>
            <w:tcW w:w="20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06CDB2C5">
            <w:pPr>
              <w:jc w:val="center"/>
              <w:rPr>
                <w:b w:val="0"/>
                <w:bCs w:val="0"/>
              </w:rPr>
            </w:pPr>
            <w:r>
              <w:rPr>
                <w:rFonts w:ascii="Arial" w:hAnsi="Arial" w:eastAsia="Arial" w:cs="Arial"/>
                <w:b w:val="0"/>
                <w:bCs w:val="0"/>
                <w:color w:val="FFFFFF"/>
                <w:sz w:val="20"/>
                <w:szCs w:val="20"/>
              </w:rPr>
              <w:t>逻辑公式</w:t>
            </w:r>
          </w:p>
        </w:tc>
        <w:tc>
          <w:tcPr>
            <w:tcW w:w="15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0B8BA10F">
            <w:pPr>
              <w:jc w:val="center"/>
              <w:rPr>
                <w:b w:val="0"/>
                <w:bCs w:val="0"/>
              </w:rPr>
            </w:pPr>
            <w:r>
              <w:rPr>
                <w:rFonts w:ascii="Arial" w:hAnsi="Arial" w:eastAsia="Arial" w:cs="Arial"/>
                <w:b w:val="0"/>
                <w:bCs w:val="0"/>
                <w:color w:val="FFFFFF"/>
                <w:sz w:val="20"/>
                <w:szCs w:val="20"/>
              </w:rPr>
              <w:t>训练末满足度</w:t>
            </w:r>
          </w:p>
        </w:tc>
        <w:tc>
          <w:tcPr>
            <w:tcW w:w="15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37145406">
            <w:pPr>
              <w:jc w:val="center"/>
              <w:rPr>
                <w:b w:val="0"/>
                <w:bCs w:val="0"/>
              </w:rPr>
            </w:pPr>
            <w:r>
              <w:rPr>
                <w:rFonts w:ascii="Arial" w:hAnsi="Arial" w:eastAsia="Arial" w:cs="Arial"/>
                <w:b w:val="0"/>
                <w:bCs w:val="0"/>
                <w:color w:val="FFFFFF"/>
                <w:sz w:val="20"/>
                <w:szCs w:val="20"/>
              </w:rPr>
              <w:t>测试集满足度</w:t>
            </w:r>
          </w:p>
        </w:tc>
        <w:tc>
          <w:tcPr>
            <w:tcW w:w="3326"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225445E7">
            <w:pPr>
              <w:jc w:val="center"/>
              <w:rPr>
                <w:b w:val="0"/>
                <w:bCs w:val="0"/>
              </w:rPr>
            </w:pPr>
            <w:r>
              <w:rPr>
                <w:rFonts w:ascii="Arial" w:hAnsi="Arial" w:eastAsia="Arial" w:cs="Arial"/>
                <w:b w:val="0"/>
                <w:bCs w:val="0"/>
                <w:color w:val="FFFFFF"/>
                <w:sz w:val="20"/>
                <w:szCs w:val="20"/>
              </w:rPr>
              <w:t>评估</w:t>
            </w:r>
          </w:p>
        </w:tc>
      </w:tr>
      <w:tr w14:paraId="07DD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31901F7">
            <w:pPr>
              <w:jc w:val="left"/>
              <w:rPr>
                <w:b w:val="0"/>
                <w:bCs w:val="0"/>
              </w:rPr>
            </w:pPr>
            <w:r>
              <w:rPr>
                <w:rFonts w:ascii="Arial" w:hAnsi="Arial" w:eastAsia="Arial" w:cs="Arial"/>
                <w:b w:val="0"/>
                <w:bCs w:val="0"/>
                <w:sz w:val="20"/>
                <w:szCs w:val="20"/>
              </w:rPr>
              <w:t>R1</w:t>
            </w:r>
          </w:p>
        </w:tc>
        <w:tc>
          <w:tcPr>
            <w:tcW w:w="2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79E9E20">
            <w:pPr>
              <w:jc w:val="center"/>
              <w:rPr>
                <w:b w:val="0"/>
                <w:bCs w:val="0"/>
              </w:rPr>
            </w:pPr>
            <w:r>
              <w:rPr>
                <w:rFonts w:ascii="Arial" w:hAnsi="Arial" w:eastAsia="Arial" w:cs="Arial"/>
                <w:b w:val="0"/>
                <w:bCs w:val="0"/>
                <w:sz w:val="20"/>
                <w:szCs w:val="20"/>
              </w:rPr>
              <w:t>Empty ⇒ ¬Theorem</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F40B9A6">
            <w:pPr>
              <w:jc w:val="center"/>
              <w:rPr>
                <w:b w:val="0"/>
                <w:bCs w:val="0"/>
              </w:rPr>
            </w:pPr>
            <w:r>
              <w:rPr>
                <w:rFonts w:ascii="Arial" w:hAnsi="Arial" w:eastAsia="Arial" w:cs="Arial"/>
                <w:b w:val="0"/>
                <w:bCs w:val="0"/>
                <w:sz w:val="20"/>
                <w:szCs w:val="20"/>
              </w:rPr>
              <w:t>0.8976</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8842496">
            <w:pPr>
              <w:jc w:val="center"/>
              <w:rPr>
                <w:b w:val="0"/>
                <w:bCs w:val="0"/>
              </w:rPr>
            </w:pPr>
            <w:r>
              <w:rPr>
                <w:rFonts w:ascii="Arial" w:hAnsi="Arial" w:eastAsia="Arial" w:cs="Arial"/>
                <w:b w:val="0"/>
                <w:bCs w:val="0"/>
                <w:sz w:val="20"/>
                <w:szCs w:val="20"/>
              </w:rPr>
              <w:t>0.9170</w:t>
            </w:r>
          </w:p>
        </w:tc>
        <w:tc>
          <w:tcPr>
            <w:tcW w:w="33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7BAB4BE">
            <w:pPr>
              <w:jc w:val="center"/>
              <w:rPr>
                <w:b w:val="0"/>
                <w:bCs w:val="0"/>
              </w:rPr>
            </w:pPr>
            <w:r>
              <w:rPr>
                <w:rFonts w:ascii="Arial" w:hAnsi="Arial" w:eastAsia="Arial" w:cs="Arial"/>
                <w:b w:val="0"/>
                <w:bCs w:val="0"/>
                <w:sz w:val="20"/>
                <w:szCs w:val="20"/>
              </w:rPr>
              <w:t>高，规则与数据一致</w:t>
            </w:r>
          </w:p>
        </w:tc>
      </w:tr>
      <w:tr w14:paraId="351AA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9FF1C13">
            <w:pPr>
              <w:jc w:val="left"/>
              <w:rPr>
                <w:b w:val="0"/>
                <w:bCs w:val="0"/>
              </w:rPr>
            </w:pPr>
            <w:r>
              <w:rPr>
                <w:rFonts w:ascii="Arial" w:hAnsi="Arial" w:eastAsia="Arial" w:cs="Arial"/>
                <w:b w:val="0"/>
                <w:bCs w:val="0"/>
                <w:sz w:val="20"/>
                <w:szCs w:val="20"/>
              </w:rPr>
              <w:t>R2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EFAD8CC">
            <w:pPr>
              <w:jc w:val="center"/>
              <w:rPr>
                <w:b w:val="0"/>
                <w:bCs w:val="0"/>
              </w:rPr>
            </w:pPr>
            <w:r>
              <w:rPr>
                <w:rFonts w:ascii="Arial" w:hAnsi="Arial" w:eastAsia="Arial" w:cs="Arial"/>
                <w:b w:val="0"/>
                <w:bCs w:val="0"/>
                <w:sz w:val="20"/>
                <w:szCs w:val="20"/>
              </w:rPr>
              <w:t>SetRel ⇒ ¬Def</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1C437D7">
            <w:pPr>
              <w:jc w:val="center"/>
              <w:rPr>
                <w:b w:val="0"/>
                <w:bCs w:val="0"/>
              </w:rPr>
            </w:pPr>
            <w:r>
              <w:rPr>
                <w:rFonts w:ascii="Arial" w:hAnsi="Arial" w:eastAsia="Arial" w:cs="Arial"/>
                <w:b w:val="0"/>
                <w:bCs w:val="0"/>
                <w:sz w:val="20"/>
                <w:szCs w:val="20"/>
              </w:rPr>
              <w:t>0.8519</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05BFF0B">
            <w:pPr>
              <w:jc w:val="center"/>
              <w:rPr>
                <w:b w:val="0"/>
                <w:bCs w:val="0"/>
              </w:rPr>
            </w:pPr>
            <w:r>
              <w:rPr>
                <w:rFonts w:ascii="Arial" w:hAnsi="Arial" w:eastAsia="Arial" w:cs="Arial"/>
                <w:b w:val="0"/>
                <w:bCs w:val="0"/>
                <w:sz w:val="20"/>
                <w:szCs w:val="20"/>
              </w:rPr>
              <w:t>0.8902</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DBC5661">
            <w:pPr>
              <w:jc w:val="center"/>
              <w:rPr>
                <w:b w:val="0"/>
                <w:bCs w:val="0"/>
              </w:rPr>
            </w:pPr>
            <w:r>
              <w:rPr>
                <w:rFonts w:ascii="Arial" w:hAnsi="Arial" w:eastAsia="Arial" w:cs="Arial"/>
                <w:b w:val="0"/>
                <w:bCs w:val="0"/>
                <w:sz w:val="20"/>
                <w:szCs w:val="20"/>
              </w:rPr>
              <w:t>良好</w:t>
            </w:r>
          </w:p>
        </w:tc>
      </w:tr>
      <w:tr w14:paraId="584CE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26C0F6D">
            <w:pPr>
              <w:jc w:val="left"/>
              <w:rPr>
                <w:b w:val="0"/>
                <w:bCs w:val="0"/>
              </w:rPr>
            </w:pPr>
            <w:r>
              <w:rPr>
                <w:rFonts w:ascii="Arial" w:hAnsi="Arial" w:eastAsia="Arial" w:cs="Arial"/>
                <w:b w:val="0"/>
                <w:bCs w:val="0"/>
                <w:sz w:val="20"/>
                <w:szCs w:val="20"/>
              </w:rPr>
              <w:t>R3</w:t>
            </w:r>
          </w:p>
        </w:tc>
        <w:tc>
          <w:tcPr>
            <w:tcW w:w="2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784BBB0">
            <w:pPr>
              <w:jc w:val="center"/>
              <w:rPr>
                <w:b w:val="0"/>
                <w:bCs w:val="0"/>
              </w:rPr>
            </w:pPr>
            <w:r>
              <w:rPr>
                <w:rFonts w:ascii="Arial" w:hAnsi="Arial" w:eastAsia="Arial" w:cs="Arial"/>
                <w:b w:val="0"/>
                <w:bCs w:val="0"/>
                <w:sz w:val="20"/>
                <w:szCs w:val="20"/>
              </w:rPr>
              <w:t>Commut ⇒ Functor</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A92DB46">
            <w:pPr>
              <w:jc w:val="center"/>
              <w:rPr>
                <w:b w:val="0"/>
                <w:bCs w:val="0"/>
              </w:rPr>
            </w:pPr>
            <w:r>
              <w:rPr>
                <w:rFonts w:ascii="Arial" w:hAnsi="Arial" w:eastAsia="Arial" w:cs="Arial"/>
                <w:b w:val="0"/>
                <w:bCs w:val="0"/>
                <w:sz w:val="20"/>
                <w:szCs w:val="20"/>
              </w:rPr>
              <w:t>0.9878</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E1D2115">
            <w:pPr>
              <w:jc w:val="center"/>
              <w:rPr>
                <w:b w:val="0"/>
                <w:bCs w:val="0"/>
              </w:rPr>
            </w:pPr>
            <w:r>
              <w:rPr>
                <w:rFonts w:ascii="Arial" w:hAnsi="Arial" w:eastAsia="Arial" w:cs="Arial"/>
                <w:b w:val="0"/>
                <w:bCs w:val="0"/>
                <w:sz w:val="20"/>
                <w:szCs w:val="20"/>
              </w:rPr>
              <w:t>0.9933</w:t>
            </w:r>
          </w:p>
        </w:tc>
        <w:tc>
          <w:tcPr>
            <w:tcW w:w="33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9475A80">
            <w:pPr>
              <w:jc w:val="center"/>
              <w:rPr>
                <w:b w:val="0"/>
                <w:bCs w:val="0"/>
              </w:rPr>
            </w:pPr>
            <w:r>
              <w:rPr>
                <w:rFonts w:ascii="Arial" w:hAnsi="Arial" w:eastAsia="Arial" w:cs="Arial"/>
                <w:b w:val="0"/>
                <w:bCs w:val="0"/>
                <w:sz w:val="20"/>
                <w:szCs w:val="20"/>
              </w:rPr>
              <w:t>最高，数学必然性</w:t>
            </w:r>
          </w:p>
        </w:tc>
      </w:tr>
      <w:tr w14:paraId="2A74C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6F21403">
            <w:pPr>
              <w:jc w:val="left"/>
              <w:rPr>
                <w:b w:val="0"/>
                <w:bCs w:val="0"/>
              </w:rPr>
            </w:pPr>
            <w:r>
              <w:rPr>
                <w:rFonts w:ascii="Arial" w:hAnsi="Arial" w:eastAsia="Arial" w:cs="Arial"/>
                <w:b w:val="0"/>
                <w:bCs w:val="0"/>
                <w:sz w:val="20"/>
                <w:szCs w:val="20"/>
              </w:rPr>
              <w:t>R4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0BC7961">
            <w:pPr>
              <w:jc w:val="center"/>
              <w:rPr>
                <w:b w:val="0"/>
                <w:bCs w:val="0"/>
              </w:rPr>
            </w:pPr>
            <w:r>
              <w:rPr>
                <w:rFonts w:ascii="Arial" w:hAnsi="Arial" w:eastAsia="Arial" w:cs="Arial"/>
                <w:b w:val="0"/>
                <w:bCs w:val="0"/>
                <w:sz w:val="20"/>
                <w:szCs w:val="20"/>
              </w:rPr>
              <w:t>ManySym ⇒ Theorem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57929D0">
            <w:pPr>
              <w:jc w:val="center"/>
              <w:rPr>
                <w:b w:val="0"/>
                <w:bCs w:val="0"/>
              </w:rPr>
            </w:pPr>
            <w:r>
              <w:rPr>
                <w:rFonts w:ascii="Arial" w:hAnsi="Arial" w:eastAsia="Arial" w:cs="Arial"/>
                <w:b w:val="0"/>
                <w:bCs w:val="0"/>
                <w:sz w:val="20"/>
                <w:szCs w:val="20"/>
              </w:rPr>
              <w:t>0.5932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565561E">
            <w:pPr>
              <w:jc w:val="center"/>
              <w:rPr>
                <w:b w:val="0"/>
                <w:bCs w:val="0"/>
              </w:rPr>
            </w:pPr>
            <w:r>
              <w:rPr>
                <w:rFonts w:ascii="Arial" w:hAnsi="Arial" w:eastAsia="Arial" w:cs="Arial"/>
                <w:b w:val="0"/>
                <w:bCs w:val="0"/>
                <w:sz w:val="20"/>
                <w:szCs w:val="20"/>
              </w:rPr>
              <w:t>0.6135</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FFB2F54">
            <w:pPr>
              <w:jc w:val="center"/>
              <w:rPr>
                <w:b w:val="0"/>
                <w:bCs w:val="0"/>
              </w:rPr>
            </w:pPr>
            <w:r>
              <w:rPr>
                <w:rFonts w:ascii="Arial" w:hAnsi="Arial" w:eastAsia="Arial" w:cs="Arial"/>
                <w:b w:val="0"/>
                <w:bCs w:val="0"/>
                <w:sz w:val="20"/>
                <w:szCs w:val="20"/>
              </w:rPr>
              <w:t>最低，弱先验规则</w:t>
            </w:r>
          </w:p>
        </w:tc>
      </w:tr>
      <w:tr w14:paraId="035A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E19AF51">
            <w:pPr>
              <w:jc w:val="left"/>
              <w:rPr>
                <w:b w:val="0"/>
                <w:bCs w:val="0"/>
              </w:rPr>
            </w:pPr>
            <w:r>
              <w:rPr>
                <w:rFonts w:ascii="Arial" w:hAnsi="Arial" w:eastAsia="Arial" w:cs="Arial"/>
                <w:b w:val="0"/>
                <w:bCs w:val="0"/>
                <w:sz w:val="20"/>
                <w:szCs w:val="20"/>
              </w:rPr>
              <w:t>R5</w:t>
            </w:r>
          </w:p>
        </w:tc>
        <w:tc>
          <w:tcPr>
            <w:tcW w:w="20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17B64D45">
            <w:pPr>
              <w:jc w:val="center"/>
              <w:rPr>
                <w:b w:val="0"/>
                <w:bCs w:val="0"/>
              </w:rPr>
            </w:pPr>
            <w:r>
              <w:rPr>
                <w:rFonts w:ascii="Arial" w:hAnsi="Arial" w:eastAsia="Arial" w:cs="Arial"/>
                <w:b w:val="0"/>
                <w:bCs w:val="0"/>
                <w:sz w:val="20"/>
                <w:szCs w:val="20"/>
              </w:rPr>
              <w:t>Def ⇒ ¬Theorem</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71AA3DB">
            <w:pPr>
              <w:jc w:val="center"/>
              <w:rPr>
                <w:b w:val="0"/>
                <w:bCs w:val="0"/>
              </w:rPr>
            </w:pPr>
            <w:r>
              <w:rPr>
                <w:rFonts w:ascii="Arial" w:hAnsi="Arial" w:eastAsia="Arial" w:cs="Arial"/>
                <w:b w:val="0"/>
                <w:bCs w:val="0"/>
                <w:sz w:val="20"/>
                <w:szCs w:val="20"/>
              </w:rPr>
              <w:t>0.9405</w:t>
            </w:r>
          </w:p>
        </w:tc>
        <w:tc>
          <w:tcPr>
            <w:tcW w:w="15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89B98BB">
            <w:pPr>
              <w:jc w:val="center"/>
              <w:rPr>
                <w:b w:val="0"/>
                <w:bCs w:val="0"/>
              </w:rPr>
            </w:pPr>
            <w:r>
              <w:rPr>
                <w:rFonts w:ascii="Arial" w:hAnsi="Arial" w:eastAsia="Arial" w:cs="Arial"/>
                <w:b w:val="0"/>
                <w:bCs w:val="0"/>
                <w:sz w:val="20"/>
                <w:szCs w:val="20"/>
              </w:rPr>
              <w:t>0.9420</w:t>
            </w:r>
          </w:p>
        </w:tc>
        <w:tc>
          <w:tcPr>
            <w:tcW w:w="33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88A0188">
            <w:pPr>
              <w:jc w:val="center"/>
              <w:rPr>
                <w:b w:val="0"/>
                <w:bCs w:val="0"/>
              </w:rPr>
            </w:pPr>
            <w:r>
              <w:rPr>
                <w:rFonts w:ascii="Arial" w:hAnsi="Arial" w:eastAsia="Arial" w:cs="Arial"/>
                <w:b w:val="0"/>
                <w:bCs w:val="0"/>
                <w:sz w:val="20"/>
                <w:szCs w:val="20"/>
              </w:rPr>
              <w:t>高，互斥关系有效</w:t>
            </w:r>
          </w:p>
        </w:tc>
      </w:tr>
      <w:tr w14:paraId="1C6C8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22ED042E">
            <w:pPr>
              <w:jc w:val="left"/>
              <w:rPr>
                <w:b w:val="0"/>
                <w:bCs w:val="0"/>
              </w:rPr>
            </w:pPr>
            <w:r>
              <w:rPr>
                <w:rFonts w:ascii="Arial" w:hAnsi="Arial" w:eastAsia="Arial" w:cs="Arial"/>
                <w:b w:val="0"/>
                <w:bCs w:val="0"/>
                <w:sz w:val="20"/>
                <w:szCs w:val="20"/>
              </w:rPr>
              <w:t>总计</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E943D1D">
            <w:pPr>
              <w:jc w:val="center"/>
              <w:rPr>
                <w:b w:val="0"/>
                <w:bCs w:val="0"/>
              </w:rPr>
            </w:pPr>
            <w:r>
              <w:rPr>
                <w:rFonts w:ascii="Arial" w:hAnsi="Arial" w:eastAsia="Arial" w:cs="Arial"/>
                <w:b w:val="0"/>
                <w:bCs w:val="0"/>
                <w:sz w:val="20"/>
                <w:szCs w:val="20"/>
              </w:rPr>
              <w:t>ltn_sat（均值）</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824ECB4">
            <w:pPr>
              <w:jc w:val="center"/>
              <w:rPr>
                <w:b w:val="0"/>
                <w:bCs w:val="0"/>
              </w:rPr>
            </w:pPr>
            <w:r>
              <w:rPr>
                <w:rFonts w:ascii="Arial" w:hAnsi="Arial" w:eastAsia="Arial" w:cs="Arial"/>
                <w:b w:val="0"/>
                <w:bCs w:val="0"/>
                <w:sz w:val="20"/>
                <w:szCs w:val="20"/>
              </w:rPr>
              <w:t>0.8542</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751159DD">
            <w:pPr>
              <w:jc w:val="center"/>
              <w:rPr>
                <w:b w:val="0"/>
                <w:bCs w:val="0"/>
              </w:rPr>
            </w:pPr>
            <w:r>
              <w:rPr>
                <w:rFonts w:ascii="Arial" w:hAnsi="Arial" w:eastAsia="Arial" w:cs="Arial"/>
                <w:b w:val="0"/>
                <w:bCs w:val="0"/>
                <w:sz w:val="20"/>
                <w:szCs w:val="20"/>
              </w:rPr>
              <w:t>0.8712</w:t>
            </w:r>
          </w:p>
        </w:tc>
        <w:tc>
          <w:tcPr>
            <w:tcW w:w="33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47AE6C4">
            <w:pPr>
              <w:jc w:val="center"/>
              <w:rPr>
                <w:b w:val="0"/>
                <w:bCs w:val="0"/>
              </w:rPr>
            </w:pPr>
            <w:r>
              <w:rPr>
                <w:rFonts w:ascii="Arial" w:hAnsi="Arial" w:eastAsia="Arial" w:cs="Arial"/>
                <w:b w:val="0"/>
                <w:bCs w:val="0"/>
                <w:sz w:val="20"/>
                <w:szCs w:val="20"/>
              </w:rPr>
              <w:t>整体良好</w:t>
            </w:r>
          </w:p>
        </w:tc>
      </w:tr>
    </w:tbl>
    <w:p w14:paraId="778E3B1C">
      <w:pPr>
        <w:spacing w:before="40" w:after="40"/>
        <w:rPr>
          <w:b w:val="0"/>
          <w:bCs w:val="0"/>
        </w:rPr>
      </w:pPr>
    </w:p>
    <w:p w14:paraId="4916B304">
      <w:pPr>
        <w:pStyle w:val="3"/>
        <w:bidi w:val="0"/>
        <w:rPr>
          <w:rFonts w:hint="eastAsia" w:eastAsia="宋体"/>
          <w:lang w:val="en-US" w:eastAsia="zh-CN"/>
        </w:rPr>
      </w:pPr>
      <w:r>
        <w:t xml:space="preserve">第 7 章  </w:t>
      </w:r>
      <w:r>
        <w:rPr>
          <w:rFonts w:hint="eastAsia"/>
          <w:lang w:val="en-US" w:eastAsia="zh-CN"/>
        </w:rPr>
        <w:t>结果分析</w:t>
      </w:r>
    </w:p>
    <w:p w14:paraId="5DA4FA89">
      <w:pPr>
        <w:pStyle w:val="4"/>
        <w:bidi w:val="0"/>
      </w:pPr>
      <w:r>
        <w:t>7.1 评估框架</w:t>
      </w:r>
    </w:p>
    <w:p w14:paraId="0DB70938">
      <w:pPr>
        <w:spacing w:before="60" w:after="100"/>
        <w:ind w:firstLine="480" w:firstLineChars="200"/>
        <w:jc w:val="both"/>
        <w:rPr>
          <w:b w:val="0"/>
          <w:bCs w:val="0"/>
        </w:rPr>
      </w:pPr>
      <w:r>
        <w:rPr>
          <w:rFonts w:ascii="Arial" w:hAnsi="Arial" w:eastAsia="Arial" w:cs="Arial"/>
          <w:b w:val="0"/>
          <w:bCs w:val="0"/>
          <w:sz w:val="24"/>
          <w:szCs w:val="24"/>
        </w:rPr>
        <w:t>本章从四个维度对改进的成功性进行系统评估：（1）相对于原论文基准方法的量化提升；（2）各改进模块的实际效果验证；（3）达到的绝对性能水平；（4）方法局限性与失败案例分析。</w:t>
      </w:r>
    </w:p>
    <w:p w14:paraId="56D3BB79">
      <w:pPr>
        <w:pStyle w:val="4"/>
        <w:bidi w:val="0"/>
      </w:pPr>
      <w:r>
        <w:t>7.2 改进成功性验证</w:t>
      </w:r>
    </w:p>
    <w:p w14:paraId="41E49873">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 xml:space="preserve">7.2.1 预测坍塌问题：完全解决 </w:t>
      </w:r>
    </w:p>
    <w:p w14:paraId="27B2D60B">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这是本实验最重要的改进。验证依据：</w:t>
      </w:r>
    </w:p>
    <w:p w14:paraId="551E969A">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训练全程（50 epochs，共约 1,424 个批次迭代）无一次坍塌事件，NaN 检测从未触发</w:t>
      </w:r>
    </w:p>
    <w:p w14:paraId="748ACB72">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7 个谓词的预测分数覆盖全区间（0.01 ~ 0.99），而非集中在某个固定值附近</w:t>
      </w:r>
    </w:p>
    <w:p w14:paraId="79134E48">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LTN Sat 稳定收敛到 0.85 而非虚高至接近 1.0，表明规则满足度反映了真实的分类质量</w:t>
      </w:r>
    </w:p>
    <w:p w14:paraId="470848B6">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BCE 损失从 0.887 降至 0.088（降幅 90%），证明监督信号被充分学习而非被规则压制</w:t>
      </w:r>
    </w:p>
    <w:p w14:paraId="453C7E21">
      <w:pPr>
        <w:spacing w:before="40" w:after="40"/>
        <w:rPr>
          <w:b w:val="0"/>
          <w:bCs w:val="0"/>
          <w:color w:val="000000" w:themeColor="text1"/>
          <w:sz w:val="24"/>
          <w:szCs w:val="24"/>
          <w14:textFill>
            <w14:solidFill>
              <w14:schemeClr w14:val="tx1"/>
            </w14:solidFill>
          </w14:textFill>
        </w:rPr>
      </w:pPr>
    </w:p>
    <w:p w14:paraId="396D5078">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 xml:space="preserve">7.2.2 类别不平衡：显著改善 </w:t>
      </w:r>
    </w:p>
    <w:p w14:paraId="041A1C59">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加权 BCE 的效果可通过 commut 谓词的表现来验证：</w:t>
      </w:r>
    </w:p>
    <w:p w14:paraId="46259BE3">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commut 测试集仅 7 个正例，极端正例率 0.5%</w:t>
      </w:r>
    </w:p>
    <w:p w14:paraId="5E823144">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召回率达到 0.714（7 个正例中成功识别 5 个），AUC = 0.832，说明模型的排序能力良好</w:t>
      </w:r>
    </w:p>
    <w:p w14:paraId="2BA975F4">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若使用普通 BCE（无权重），commut 的召回率预期接近 0，因为 7 个正例相对于 906 个负例的梯度贡献可忽略不计</w:t>
      </w:r>
    </w:p>
    <w:p w14:paraId="5DA18A9A">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functor（反向不平衡）AUC = 0.992，说明加权策略对两端不平衡均有效</w:t>
      </w:r>
    </w:p>
    <w:p w14:paraId="18D71D90">
      <w:pPr>
        <w:spacing w:before="40" w:after="40"/>
        <w:rPr>
          <w:b w:val="0"/>
          <w:bCs w:val="0"/>
          <w:color w:val="000000" w:themeColor="text1"/>
          <w:sz w:val="24"/>
          <w:szCs w:val="24"/>
          <w14:textFill>
            <w14:solidFill>
              <w14:schemeClr w14:val="tx1"/>
            </w14:solidFill>
          </w14:textFill>
        </w:rPr>
      </w:pPr>
    </w:p>
    <w:p w14:paraId="451BB331">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 xml:space="preserve">7.2.3 特征工程：TF-IDF 对 BOW 的提升 </w:t>
      </w:r>
    </w:p>
    <w:p w14:paraId="03C8B5C7">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TF-IDF 相对于纯词袋（BOW）的提升体现在：</w:t>
      </w:r>
    </w:p>
    <w:p w14:paraId="7BB89375">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IDF 权重压制高频通用符号（如 r1_tarski 在几乎所有公理中出现），突出区分性符号</w:t>
      </w:r>
    </w:p>
    <w:p w14:paraId="5052EEF0">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L2 归一化消除长公理的长度偏置，使不同复杂度的公理具有可比的特征幅度</w:t>
      </w:r>
    </w:p>
    <w:p w14:paraId="49224E3F">
      <w:pPr>
        <w:pStyle w:val="16"/>
        <w:numPr>
          <w:ilvl w:val="0"/>
          <w:numId w:val="1"/>
        </w:numPr>
        <w:spacing w:before="40" w:after="4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empty 和 setrel 谓词达到完美 AUC=1.000，证明 TF-IDF 特征充分捕捉了这些类别的核心区分信息</w:t>
      </w:r>
    </w:p>
    <w:p w14:paraId="66B42F3B">
      <w:pPr>
        <w:spacing w:before="40" w:after="40"/>
        <w:rPr>
          <w:b w:val="0"/>
          <w:bCs w:val="0"/>
          <w:color w:val="000000" w:themeColor="text1"/>
          <w:sz w:val="24"/>
          <w:szCs w:val="24"/>
          <w14:textFill>
            <w14:solidFill>
              <w14:schemeClr w14:val="tx1"/>
            </w14:solidFill>
          </w14:textFill>
        </w:rPr>
      </w:pPr>
    </w:p>
    <w:p w14:paraId="22458F12">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 xml:space="preserve">7.2.4 动态阈值：适应多样正例率 </w:t>
      </w:r>
    </w:p>
    <w:p w14:paraId="2797A246">
      <w:pPr>
        <w:spacing w:before="60" w:after="100"/>
        <w:ind w:firstLine="480" w:firstLineChars="2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Youden 指数动态阈值的有效性体现在：若强制使用 0.5 阈值，commut（正例率 0.5%）在正常训练分布下几乎不可能将分数超过 0.5，召回率将接近 0。动态阈值使模型在保持 AUC=0.832 的同时实现了 0.714 的召回率，是对极端不平衡场景的正确处理方式。</w:t>
      </w:r>
    </w:p>
    <w:p w14:paraId="1F561512">
      <w:pPr>
        <w:spacing w:before="40" w:after="40"/>
        <w:rPr>
          <w:b w:val="0"/>
          <w:bCs w:val="0"/>
        </w:rPr>
      </w:pPr>
    </w:p>
    <w:p w14:paraId="3C972871">
      <w:pPr>
        <w:pStyle w:val="4"/>
        <w:bidi w:val="0"/>
      </w:pPr>
      <w:r>
        <w:t>7.3 绝对性能水平评估</w:t>
      </w:r>
    </w:p>
    <w:p w14:paraId="0CC39744">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7.3.1 优秀成果（AUC ≥ 0.97）</w:t>
      </w:r>
    </w:p>
    <w:p w14:paraId="3484FF79">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empty（AUC=1.000，F1=1.000）：分类完全正确。空集符号（v1_xboole_0、k1_xboole_0）在 TF-IDF 特征空间中构成独立且高权重的维度，是最容易分类的谓词。</w:t>
      </w:r>
    </w:p>
    <w:p w14:paraId="2F4E8776">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setrel（AUC=1.000，F1=0.998）：近乎完美。集合关系符号（r2_hidden、r1_tarski）同样具有高度专属性，与空集谓词共同验证了 TF-IDF 在符号级区分任务上的高效性。</w:t>
      </w:r>
    </w:p>
    <w:p w14:paraId="28804AC2">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functor（AUC=0.992，F1=0.979）：优秀。尽管正例率高达 81%，模型仍以极高精确率（0.997）准确识别无函子公理，AUC 接近完美。</w:t>
      </w:r>
    </w:p>
    <w:p w14:paraId="0243BC50">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manysym（AUC=0.977，F1=0.928）：优秀。符号密度信息被 TF-IDF 向量的非零分量数目隐式编码，被网络有效利用。</w:t>
      </w:r>
    </w:p>
    <w:p w14:paraId="25F2EFDC">
      <w:pPr>
        <w:spacing w:before="40" w:after="40"/>
        <w:rPr>
          <w:b w:val="0"/>
          <w:bCs w:val="0"/>
          <w:color w:val="000000" w:themeColor="text1"/>
          <w:sz w:val="24"/>
          <w:szCs w:val="24"/>
          <w14:textFill>
            <w14:solidFill>
              <w14:schemeClr w14:val="tx1"/>
            </w14:solidFill>
          </w14:textFill>
        </w:rPr>
      </w:pPr>
    </w:p>
    <w:p w14:paraId="1498537F">
      <w:pPr>
        <w:pStyle w:val="4"/>
        <w:spacing w:before="180" w:after="80"/>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7.3.2 受限成果（AUC 0.58~0.83）</w:t>
      </w:r>
    </w:p>
    <w:p w14:paraId="0AA315B8">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commut（AUC=0.832，F1=0.076）：AUC 良好但 F1 极低，原因在于极端不平衡（测试集7个正例）导致任何阈值下精确率与召回率难以同时提升。F1 低不代表模型失败，而是反映了该谓词的内在困难。</w:t>
      </w:r>
    </w:p>
    <w:p w14:paraId="49DC703E">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theorem（AUC=0.710，F1=0.611）：中等。定理类公理缺乏独特符号标识，其区分依赖语义层面信息，超出 TF-IDF 的表达能力。</w:t>
      </w:r>
    </w:p>
    <w:p w14:paraId="6E35F49C">
      <w:pPr>
        <w:spacing w:before="60" w:after="100"/>
        <w:jc w:val="both"/>
        <w:rPr>
          <w:b w:val="0"/>
          <w:bCs w:val="0"/>
          <w:color w:val="000000" w:themeColor="text1"/>
          <w:sz w:val="24"/>
          <w:szCs w:val="24"/>
          <w14:textFill>
            <w14:solidFill>
              <w14:schemeClr w14:val="tx1"/>
            </w14:solidFill>
          </w14:textFill>
        </w:rPr>
      </w:pPr>
      <w:r>
        <w:rPr>
          <w:rFonts w:ascii="Arial" w:hAnsi="Arial" w:eastAsia="Arial" w:cs="Arial"/>
          <w:b w:val="0"/>
          <w:bCs w:val="0"/>
          <w:color w:val="000000" w:themeColor="text1"/>
          <w:sz w:val="24"/>
          <w:szCs w:val="24"/>
          <w14:textFill>
            <w14:solidFill>
              <w14:schemeClr w14:val="tx1"/>
            </w14:solidFill>
          </w14:textFill>
        </w:rPr>
        <w:t>definition（AUC=0.584，F1=0.221）：最差。定义与定理高度重叠（都可包含任意符号），且正例率仅 9.4%。这是本实验的主要失败案例，根本原因是特征表示不足而非方法缺陷。</w:t>
      </w:r>
    </w:p>
    <w:p w14:paraId="1D2FE17A">
      <w:pPr>
        <w:spacing w:before="40" w:after="40"/>
        <w:rPr>
          <w:b w:val="0"/>
          <w:bCs w:val="0"/>
        </w:rPr>
      </w:pPr>
    </w:p>
    <w:p w14:paraId="6C7FA272">
      <w:pPr>
        <w:pStyle w:val="4"/>
        <w:bidi w:val="0"/>
      </w:pPr>
      <w:r>
        <w:t>7.4 逻辑规则内化成功性</w:t>
      </w:r>
    </w:p>
    <w:p w14:paraId="14FA07FC">
      <w:pPr>
        <w:spacing w:before="60" w:after="100"/>
        <w:ind w:firstLine="440" w:firstLineChars="200"/>
        <w:jc w:val="both"/>
        <w:rPr>
          <w:b w:val="0"/>
          <w:bCs w:val="0"/>
        </w:rPr>
      </w:pPr>
      <w:r>
        <w:rPr>
          <w:rFonts w:ascii="Arial" w:hAnsi="Arial" w:eastAsia="Arial" w:cs="Arial"/>
          <w:b w:val="0"/>
          <w:bCs w:val="0"/>
          <w:sz w:val="22"/>
          <w:szCs w:val="22"/>
        </w:rPr>
        <w:t>逻辑规则满足度是评估神经符号方法成功与否的核心指标。本实验取得以下结果：</w:t>
      </w:r>
    </w:p>
    <w:p w14:paraId="600F0E69">
      <w:pPr>
        <w:pStyle w:val="16"/>
        <w:numPr>
          <w:ilvl w:val="0"/>
          <w:numId w:val="1"/>
        </w:numPr>
        <w:spacing w:before="40" w:after="40"/>
        <w:rPr>
          <w:b w:val="0"/>
          <w:bCs w:val="0"/>
          <w:sz w:val="24"/>
          <w:szCs w:val="24"/>
        </w:rPr>
      </w:pPr>
      <w:r>
        <w:rPr>
          <w:rFonts w:ascii="Arial" w:hAnsi="Arial" w:eastAsia="Arial" w:cs="Arial"/>
          <w:b w:val="0"/>
          <w:bCs w:val="0"/>
          <w:sz w:val="24"/>
          <w:szCs w:val="24"/>
        </w:rPr>
        <w:t>总体满足度 ltn_sat = 0.8712，显著高于随机预测下的理论期望值（约 0.5~0.6）</w:t>
      </w:r>
    </w:p>
    <w:p w14:paraId="5DE8AC85">
      <w:pPr>
        <w:pStyle w:val="16"/>
        <w:numPr>
          <w:ilvl w:val="0"/>
          <w:numId w:val="1"/>
        </w:numPr>
        <w:spacing w:before="40" w:after="40"/>
        <w:rPr>
          <w:b w:val="0"/>
          <w:bCs w:val="0"/>
          <w:sz w:val="24"/>
          <w:szCs w:val="24"/>
        </w:rPr>
      </w:pPr>
      <w:r>
        <w:rPr>
          <w:rFonts w:ascii="Arial" w:hAnsi="Arial" w:eastAsia="Arial" w:cs="Arial"/>
          <w:b w:val="0"/>
          <w:bCs w:val="0"/>
          <w:sz w:val="24"/>
          <w:szCs w:val="24"/>
        </w:rPr>
        <w:t>R3 满足度 0.9933：交换律公理必然含函子这一数学必然性被近乎完美地学习（理论上界为 1.0）</w:t>
      </w:r>
    </w:p>
    <w:p w14:paraId="0E080529">
      <w:pPr>
        <w:pStyle w:val="16"/>
        <w:numPr>
          <w:ilvl w:val="0"/>
          <w:numId w:val="1"/>
        </w:numPr>
        <w:spacing w:before="40" w:after="40"/>
        <w:rPr>
          <w:b w:val="0"/>
          <w:bCs w:val="0"/>
          <w:sz w:val="24"/>
          <w:szCs w:val="24"/>
        </w:rPr>
      </w:pPr>
      <w:r>
        <w:rPr>
          <w:rFonts w:ascii="Arial" w:hAnsi="Arial" w:eastAsia="Arial" w:cs="Arial"/>
          <w:b w:val="0"/>
          <w:bCs w:val="0"/>
          <w:sz w:val="24"/>
          <w:szCs w:val="24"/>
        </w:rPr>
        <w:t>R5 满足度 0.9420：定义与定理互斥约束被有效内化，说明模型在多谓词联合预测时能够协调相互依赖的标签关系</w:t>
      </w:r>
    </w:p>
    <w:p w14:paraId="588B3E59">
      <w:pPr>
        <w:pStyle w:val="16"/>
        <w:numPr>
          <w:ilvl w:val="0"/>
          <w:numId w:val="1"/>
        </w:numPr>
        <w:spacing w:before="40" w:after="40"/>
        <w:rPr>
          <w:b w:val="0"/>
          <w:bCs w:val="0"/>
          <w:sz w:val="24"/>
          <w:szCs w:val="24"/>
        </w:rPr>
      </w:pPr>
      <w:r>
        <w:rPr>
          <w:rFonts w:ascii="Arial" w:hAnsi="Arial" w:eastAsia="Arial" w:cs="Arial"/>
          <w:b w:val="0"/>
          <w:bCs w:val="0"/>
          <w:sz w:val="24"/>
          <w:szCs w:val="24"/>
        </w:rPr>
        <w:t>R1 和 R2 满足度均超过 0.89，验证了符号约束类规则的高度有效性</w:t>
      </w:r>
    </w:p>
    <w:p w14:paraId="5FDAD08D">
      <w:pPr>
        <w:pStyle w:val="16"/>
        <w:numPr>
          <w:ilvl w:val="0"/>
          <w:numId w:val="1"/>
        </w:numPr>
        <w:spacing w:before="40" w:after="40"/>
        <w:rPr>
          <w:b w:val="0"/>
          <w:bCs w:val="0"/>
          <w:sz w:val="24"/>
          <w:szCs w:val="24"/>
        </w:rPr>
      </w:pPr>
      <w:r>
        <w:rPr>
          <w:rFonts w:ascii="Arial" w:hAnsi="Arial" w:eastAsia="Arial" w:cs="Arial"/>
          <w:b w:val="0"/>
          <w:bCs w:val="0"/>
          <w:sz w:val="24"/>
          <w:szCs w:val="24"/>
        </w:rPr>
        <w:t>R4 满足度 0.6135 偏低，这反映了该规则本身是弱先验（多符号公理不总是定理），而非方法的失</w:t>
      </w:r>
      <w:bookmarkStart w:id="0" w:name="_GoBack"/>
      <w:bookmarkEnd w:id="0"/>
      <w:r>
        <w:rPr>
          <w:rFonts w:ascii="Arial" w:hAnsi="Arial" w:eastAsia="Arial" w:cs="Arial"/>
          <w:b w:val="0"/>
          <w:bCs w:val="0"/>
          <w:sz w:val="24"/>
          <w:szCs w:val="24"/>
        </w:rPr>
        <w:t>败——模型正确地识别了数据与规则之间的矛盾</w:t>
      </w:r>
    </w:p>
    <w:p w14:paraId="575FA7E4">
      <w:pPr>
        <w:spacing w:before="40" w:after="40"/>
        <w:rPr>
          <w:b w:val="0"/>
          <w:bCs w:val="0"/>
        </w:rPr>
      </w:pPr>
    </w:p>
    <w:p w14:paraId="2C0A20D8">
      <w:pPr>
        <w:pStyle w:val="4"/>
        <w:bidi w:val="0"/>
      </w:pPr>
      <w:r>
        <w:t>7.5 与原论文方法的定量对比总结</w:t>
      </w:r>
    </w:p>
    <w:p w14:paraId="4D2486F1">
      <w:pPr>
        <w:spacing w:before="60" w:after="120"/>
        <w:jc w:val="center"/>
        <w:rPr>
          <w:b/>
          <w:bCs/>
          <w:i w:val="0"/>
          <w:iCs w:val="0"/>
          <w:color w:val="000000" w:themeColor="text1"/>
          <w14:textFill>
            <w14:solidFill>
              <w14:schemeClr w14:val="tx1"/>
            </w14:solidFill>
          </w14:textFill>
        </w:rPr>
      </w:pPr>
      <w:r>
        <w:rPr>
          <w:rFonts w:ascii="Arial" w:hAnsi="Arial" w:eastAsia="Arial" w:cs="Arial"/>
          <w:b/>
          <w:bCs/>
          <w:i w:val="0"/>
          <w:iCs w:val="0"/>
          <w:color w:val="000000" w:themeColor="text1"/>
          <w:sz w:val="20"/>
          <w:szCs w:val="20"/>
          <w14:textFill>
            <w14:solidFill>
              <w14:schemeClr w14:val="tx1"/>
            </w14:solidFill>
          </w14:textFill>
        </w:rPr>
        <w:t>表 7.1  本实验相对于原论文方法的定量对比</w:t>
      </w:r>
    </w:p>
    <w:tbl>
      <w:tblPr>
        <w:tblStyle w:val="11"/>
        <w:tblW w:w="8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2400"/>
        <w:gridCol w:w="1626"/>
      </w:tblGrid>
      <w:tr w14:paraId="68E4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757A33CD">
            <w:pPr>
              <w:jc w:val="center"/>
              <w:rPr>
                <w:b w:val="0"/>
                <w:bCs w:val="0"/>
              </w:rPr>
            </w:pPr>
            <w:r>
              <w:rPr>
                <w:rFonts w:ascii="Arial" w:hAnsi="Arial" w:eastAsia="Arial" w:cs="Arial"/>
                <w:b w:val="0"/>
                <w:bCs w:val="0"/>
                <w:color w:val="FFFFFF"/>
                <w:sz w:val="20"/>
                <w:szCs w:val="20"/>
              </w:rPr>
              <w:t>维度</w:t>
            </w:r>
          </w:p>
        </w:tc>
        <w:tc>
          <w:tcPr>
            <w:tcW w:w="22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0E7BD370">
            <w:pPr>
              <w:jc w:val="center"/>
              <w:rPr>
                <w:b w:val="0"/>
                <w:bCs w:val="0"/>
              </w:rPr>
            </w:pPr>
            <w:r>
              <w:rPr>
                <w:rFonts w:ascii="Arial" w:hAnsi="Arial" w:eastAsia="Arial" w:cs="Arial"/>
                <w:b w:val="0"/>
                <w:bCs w:val="0"/>
                <w:color w:val="FFFFFF"/>
                <w:sz w:val="20"/>
                <w:szCs w:val="20"/>
              </w:rPr>
              <w:t>原论文（猫狗示例）</w:t>
            </w:r>
          </w:p>
        </w:tc>
        <w:tc>
          <w:tcPr>
            <w:tcW w:w="2400"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17940DE">
            <w:pPr>
              <w:jc w:val="center"/>
              <w:rPr>
                <w:b w:val="0"/>
                <w:bCs w:val="0"/>
              </w:rPr>
            </w:pPr>
            <w:r>
              <w:rPr>
                <w:rFonts w:ascii="Arial" w:hAnsi="Arial" w:eastAsia="Arial" w:cs="Arial"/>
                <w:b w:val="0"/>
                <w:bCs w:val="0"/>
                <w:color w:val="FFFFFF"/>
                <w:sz w:val="20"/>
                <w:szCs w:val="20"/>
              </w:rPr>
              <w:t>本实验（CNF 多标签）</w:t>
            </w:r>
          </w:p>
        </w:tc>
        <w:tc>
          <w:tcPr>
            <w:tcW w:w="1626" w:type="dxa"/>
            <w:tcBorders>
              <w:top w:val="single" w:color="1F5C8B" w:sz="2" w:space="0"/>
              <w:left w:val="single" w:color="1F5C8B" w:sz="2" w:space="0"/>
              <w:bottom w:val="single" w:color="1F5C8B" w:sz="2" w:space="0"/>
              <w:right w:val="single" w:color="1F5C8B" w:sz="2" w:space="0"/>
            </w:tcBorders>
            <w:shd w:val="clear" w:color="auto" w:fill="1F5C8B"/>
            <w:tcMar>
              <w:top w:w="80" w:type="dxa"/>
              <w:left w:w="100" w:type="dxa"/>
              <w:bottom w:w="80" w:type="dxa"/>
              <w:right w:w="100" w:type="dxa"/>
            </w:tcMar>
          </w:tcPr>
          <w:p w14:paraId="1E5DC423">
            <w:pPr>
              <w:jc w:val="center"/>
              <w:rPr>
                <w:b w:val="0"/>
                <w:bCs w:val="0"/>
              </w:rPr>
            </w:pPr>
            <w:r>
              <w:rPr>
                <w:rFonts w:ascii="Arial" w:hAnsi="Arial" w:eastAsia="Arial" w:cs="Arial"/>
                <w:b w:val="0"/>
                <w:bCs w:val="0"/>
                <w:color w:val="FFFFFF"/>
                <w:sz w:val="20"/>
                <w:szCs w:val="20"/>
              </w:rPr>
              <w:t>改进成果</w:t>
            </w:r>
          </w:p>
        </w:tc>
      </w:tr>
      <w:tr w14:paraId="7CBE0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7407542">
            <w:pPr>
              <w:jc w:val="center"/>
              <w:rPr>
                <w:b w:val="0"/>
                <w:bCs w:val="0"/>
              </w:rPr>
            </w:pPr>
            <w:r>
              <w:rPr>
                <w:rFonts w:ascii="Arial" w:hAnsi="Arial" w:eastAsia="Arial" w:cs="Arial"/>
                <w:b w:val="0"/>
                <w:bCs w:val="0"/>
                <w:sz w:val="20"/>
                <w:szCs w:val="20"/>
              </w:rPr>
              <w:t>任务规模</w:t>
            </w:r>
          </w:p>
        </w:tc>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3370A15">
            <w:pPr>
              <w:jc w:val="center"/>
              <w:rPr>
                <w:b w:val="0"/>
                <w:bCs w:val="0"/>
              </w:rPr>
            </w:pPr>
            <w:r>
              <w:rPr>
                <w:rFonts w:ascii="Arial" w:hAnsi="Arial" w:eastAsia="Arial" w:cs="Arial"/>
                <w:b w:val="0"/>
                <w:bCs w:val="0"/>
                <w:sz w:val="20"/>
                <w:szCs w:val="20"/>
              </w:rPr>
              <w:t>1谓词，2条规则</w:t>
            </w:r>
          </w:p>
        </w:tc>
        <w:tc>
          <w:tcPr>
            <w:tcW w:w="24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738F5524">
            <w:pPr>
              <w:jc w:val="center"/>
              <w:rPr>
                <w:b w:val="0"/>
                <w:bCs w:val="0"/>
              </w:rPr>
            </w:pPr>
            <w:r>
              <w:rPr>
                <w:rFonts w:ascii="Arial" w:hAnsi="Arial" w:eastAsia="Arial" w:cs="Arial"/>
                <w:b w:val="0"/>
                <w:bCs w:val="0"/>
                <w:sz w:val="20"/>
                <w:szCs w:val="20"/>
              </w:rPr>
              <w:t>7谓词，5条规则</w:t>
            </w:r>
          </w:p>
        </w:tc>
        <w:tc>
          <w:tcPr>
            <w:tcW w:w="16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28C8F30">
            <w:pPr>
              <w:jc w:val="center"/>
              <w:rPr>
                <w:b w:val="0"/>
                <w:bCs w:val="0"/>
              </w:rPr>
            </w:pPr>
            <w:r>
              <w:rPr>
                <w:rFonts w:ascii="Arial" w:hAnsi="Arial" w:eastAsia="Arial" w:cs="Arial"/>
                <w:b w:val="0"/>
                <w:bCs w:val="0"/>
                <w:sz w:val="20"/>
                <w:szCs w:val="20"/>
              </w:rPr>
              <w:t>大幅扩展</w:t>
            </w:r>
          </w:p>
        </w:tc>
      </w:tr>
      <w:tr w14:paraId="4325A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5AC8CB8">
            <w:pPr>
              <w:jc w:val="center"/>
              <w:rPr>
                <w:b w:val="0"/>
                <w:bCs w:val="0"/>
              </w:rPr>
            </w:pPr>
            <w:r>
              <w:rPr>
                <w:rFonts w:ascii="Arial" w:hAnsi="Arial" w:eastAsia="Arial" w:cs="Arial"/>
                <w:b w:val="0"/>
                <w:bCs w:val="0"/>
                <w:sz w:val="20"/>
                <w:szCs w:val="20"/>
              </w:rPr>
              <w:t>预测坍塌</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54445B9">
            <w:pPr>
              <w:jc w:val="center"/>
              <w:rPr>
                <w:b w:val="0"/>
                <w:bCs w:val="0"/>
              </w:rPr>
            </w:pPr>
            <w:r>
              <w:rPr>
                <w:rFonts w:ascii="Arial" w:hAnsi="Arial" w:eastAsia="Arial" w:cs="Arial"/>
                <w:b w:val="0"/>
                <w:bCs w:val="0"/>
                <w:sz w:val="20"/>
                <w:szCs w:val="20"/>
              </w:rPr>
              <w:t>不存在（均衡单任务）</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A9D0D21">
            <w:pPr>
              <w:jc w:val="center"/>
              <w:rPr>
                <w:b w:val="0"/>
                <w:bCs w:val="0"/>
              </w:rPr>
            </w:pPr>
            <w:r>
              <w:rPr>
                <w:rFonts w:ascii="Arial" w:hAnsi="Arial" w:eastAsia="Arial" w:cs="Arial"/>
                <w:b w:val="0"/>
                <w:bCs w:val="0"/>
                <w:sz w:val="20"/>
                <w:szCs w:val="20"/>
              </w:rPr>
              <w:t>混合损失完全解决</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96FD597">
            <w:pPr>
              <w:jc w:val="center"/>
              <w:rPr>
                <w:b w:val="0"/>
                <w:bCs w:val="0"/>
              </w:rPr>
            </w:pPr>
            <w:r>
              <w:rPr>
                <w:rFonts w:ascii="Arial" w:hAnsi="Arial" w:eastAsia="Arial" w:cs="Arial"/>
                <w:b w:val="0"/>
                <w:bCs w:val="0"/>
                <w:sz w:val="20"/>
                <w:szCs w:val="20"/>
              </w:rPr>
              <w:t>问题解决</w:t>
            </w:r>
          </w:p>
        </w:tc>
      </w:tr>
      <w:tr w14:paraId="00B1E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C410B3D">
            <w:pPr>
              <w:jc w:val="center"/>
              <w:rPr>
                <w:b w:val="0"/>
                <w:bCs w:val="0"/>
              </w:rPr>
            </w:pPr>
            <w:r>
              <w:rPr>
                <w:rFonts w:ascii="Arial" w:hAnsi="Arial" w:eastAsia="Arial" w:cs="Arial"/>
                <w:b w:val="0"/>
                <w:bCs w:val="0"/>
                <w:sz w:val="20"/>
                <w:szCs w:val="20"/>
              </w:rPr>
              <w:t>类别平衡</w:t>
            </w:r>
          </w:p>
        </w:tc>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9E5A66F">
            <w:pPr>
              <w:jc w:val="center"/>
              <w:rPr>
                <w:b w:val="0"/>
                <w:bCs w:val="0"/>
              </w:rPr>
            </w:pPr>
            <w:r>
              <w:rPr>
                <w:rFonts w:ascii="Arial" w:hAnsi="Arial" w:eastAsia="Arial" w:cs="Arial"/>
                <w:b w:val="0"/>
                <w:bCs w:val="0"/>
                <w:sz w:val="20"/>
                <w:szCs w:val="20"/>
              </w:rPr>
              <w:t>完全均衡</w:t>
            </w:r>
          </w:p>
        </w:tc>
        <w:tc>
          <w:tcPr>
            <w:tcW w:w="24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429FC275">
            <w:pPr>
              <w:jc w:val="center"/>
              <w:rPr>
                <w:b w:val="0"/>
                <w:bCs w:val="0"/>
              </w:rPr>
            </w:pPr>
            <w:r>
              <w:rPr>
                <w:rFonts w:ascii="Arial" w:hAnsi="Arial" w:eastAsia="Arial" w:cs="Arial"/>
                <w:b w:val="0"/>
                <w:bCs w:val="0"/>
                <w:sz w:val="20"/>
                <w:szCs w:val="20"/>
              </w:rPr>
              <w:t>动态权重，commut AUC=0.832</w:t>
            </w:r>
          </w:p>
        </w:tc>
        <w:tc>
          <w:tcPr>
            <w:tcW w:w="16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6B34F5B9">
            <w:pPr>
              <w:jc w:val="center"/>
              <w:rPr>
                <w:b w:val="0"/>
                <w:bCs w:val="0"/>
              </w:rPr>
            </w:pPr>
            <w:r>
              <w:rPr>
                <w:rFonts w:ascii="Arial" w:hAnsi="Arial" w:eastAsia="Arial" w:cs="Arial"/>
                <w:b w:val="0"/>
                <w:bCs w:val="0"/>
                <w:sz w:val="20"/>
                <w:szCs w:val="20"/>
              </w:rPr>
              <w:t>显著改善</w:t>
            </w:r>
          </w:p>
        </w:tc>
      </w:tr>
      <w:tr w14:paraId="32D2D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EB426D7">
            <w:pPr>
              <w:jc w:val="center"/>
              <w:rPr>
                <w:b w:val="0"/>
                <w:bCs w:val="0"/>
              </w:rPr>
            </w:pPr>
            <w:r>
              <w:rPr>
                <w:rFonts w:ascii="Arial" w:hAnsi="Arial" w:eastAsia="Arial" w:cs="Arial"/>
                <w:b w:val="0"/>
                <w:bCs w:val="0"/>
                <w:sz w:val="20"/>
                <w:szCs w:val="20"/>
              </w:rPr>
              <w:t>特征方法</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1F55F9D">
            <w:pPr>
              <w:jc w:val="center"/>
              <w:rPr>
                <w:b w:val="0"/>
                <w:bCs w:val="0"/>
              </w:rPr>
            </w:pPr>
            <w:r>
              <w:rPr>
                <w:rFonts w:ascii="Arial" w:hAnsi="Arial" w:eastAsia="Arial" w:cs="Arial"/>
                <w:b w:val="0"/>
                <w:bCs w:val="0"/>
                <w:sz w:val="20"/>
                <w:szCs w:val="20"/>
              </w:rPr>
              <w:t>CNN 图像特征（论文示例）</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490F7088">
            <w:pPr>
              <w:jc w:val="center"/>
              <w:rPr>
                <w:b w:val="0"/>
                <w:bCs w:val="0"/>
              </w:rPr>
            </w:pPr>
            <w:r>
              <w:rPr>
                <w:rFonts w:ascii="Arial" w:hAnsi="Arial" w:eastAsia="Arial" w:cs="Arial"/>
                <w:b w:val="0"/>
                <w:bCs w:val="0"/>
                <w:sz w:val="20"/>
                <w:szCs w:val="20"/>
              </w:rPr>
              <w:t>TF-IDF，4个谓词 AUC≥0.977</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5974FDF5">
            <w:pPr>
              <w:jc w:val="center"/>
              <w:rPr>
                <w:b w:val="0"/>
                <w:bCs w:val="0"/>
              </w:rPr>
            </w:pPr>
            <w:r>
              <w:rPr>
                <w:rFonts w:ascii="Arial" w:hAnsi="Arial" w:eastAsia="Arial" w:cs="Arial"/>
                <w:b w:val="0"/>
                <w:bCs w:val="0"/>
                <w:sz w:val="20"/>
                <w:szCs w:val="20"/>
              </w:rPr>
              <w:t>有效适配</w:t>
            </w:r>
          </w:p>
        </w:tc>
      </w:tr>
      <w:tr w14:paraId="43E40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213E551E">
            <w:pPr>
              <w:jc w:val="center"/>
              <w:rPr>
                <w:b w:val="0"/>
                <w:bCs w:val="0"/>
              </w:rPr>
            </w:pPr>
            <w:r>
              <w:rPr>
                <w:rFonts w:ascii="Arial" w:hAnsi="Arial" w:eastAsia="Arial" w:cs="Arial"/>
                <w:b w:val="0"/>
                <w:bCs w:val="0"/>
                <w:sz w:val="20"/>
                <w:szCs w:val="20"/>
              </w:rPr>
              <w:t>评估方式</w:t>
            </w:r>
          </w:p>
        </w:tc>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189D15A">
            <w:pPr>
              <w:jc w:val="center"/>
              <w:rPr>
                <w:b w:val="0"/>
                <w:bCs w:val="0"/>
              </w:rPr>
            </w:pPr>
            <w:r>
              <w:rPr>
                <w:rFonts w:ascii="Arial" w:hAnsi="Arial" w:eastAsia="Arial" w:cs="Arial"/>
                <w:b w:val="0"/>
                <w:bCs w:val="0"/>
                <w:sz w:val="20"/>
                <w:szCs w:val="20"/>
              </w:rPr>
              <w:t>固定 0.5 阈值</w:t>
            </w:r>
          </w:p>
        </w:tc>
        <w:tc>
          <w:tcPr>
            <w:tcW w:w="24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E7D75D9">
            <w:pPr>
              <w:jc w:val="center"/>
              <w:rPr>
                <w:b w:val="0"/>
                <w:bCs w:val="0"/>
              </w:rPr>
            </w:pPr>
            <w:r>
              <w:rPr>
                <w:rFonts w:ascii="Arial" w:hAnsi="Arial" w:eastAsia="Arial" w:cs="Arial"/>
                <w:b w:val="0"/>
                <w:bCs w:val="0"/>
                <w:sz w:val="20"/>
                <w:szCs w:val="20"/>
              </w:rPr>
              <w:t>Youden 动态阈值</w:t>
            </w:r>
          </w:p>
        </w:tc>
        <w:tc>
          <w:tcPr>
            <w:tcW w:w="16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E008758">
            <w:pPr>
              <w:jc w:val="center"/>
              <w:rPr>
                <w:b w:val="0"/>
                <w:bCs w:val="0"/>
              </w:rPr>
            </w:pPr>
            <w:r>
              <w:rPr>
                <w:rFonts w:ascii="Arial" w:hAnsi="Arial" w:eastAsia="Arial" w:cs="Arial"/>
                <w:b w:val="0"/>
                <w:bCs w:val="0"/>
                <w:sz w:val="20"/>
                <w:szCs w:val="20"/>
              </w:rPr>
              <w:t>更合理</w:t>
            </w:r>
          </w:p>
        </w:tc>
      </w:tr>
      <w:tr w14:paraId="3359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3322A874">
            <w:pPr>
              <w:jc w:val="center"/>
              <w:rPr>
                <w:b w:val="0"/>
                <w:bCs w:val="0"/>
              </w:rPr>
            </w:pPr>
            <w:r>
              <w:rPr>
                <w:rFonts w:ascii="Arial" w:hAnsi="Arial" w:eastAsia="Arial" w:cs="Arial"/>
                <w:b w:val="0"/>
                <w:bCs w:val="0"/>
                <w:sz w:val="20"/>
                <w:szCs w:val="20"/>
              </w:rPr>
              <w:t>规则满足度</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62CE39B9">
            <w:pPr>
              <w:jc w:val="center"/>
              <w:rPr>
                <w:b w:val="0"/>
                <w:bCs w:val="0"/>
              </w:rPr>
            </w:pPr>
            <w:r>
              <w:rPr>
                <w:rFonts w:ascii="Arial" w:hAnsi="Arial" w:eastAsia="Arial" w:cs="Arial"/>
                <w:b w:val="0"/>
                <w:bCs w:val="0"/>
                <w:sz w:val="20"/>
                <w:szCs w:val="20"/>
              </w:rPr>
              <w:t>未量化报告</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15DB44C8">
            <w:pPr>
              <w:jc w:val="center"/>
              <w:rPr>
                <w:b w:val="0"/>
                <w:bCs w:val="0"/>
              </w:rPr>
            </w:pPr>
            <w:r>
              <w:rPr>
                <w:rFonts w:ascii="Arial" w:hAnsi="Arial" w:eastAsia="Arial" w:cs="Arial"/>
                <w:b w:val="0"/>
                <w:bCs w:val="0"/>
                <w:sz w:val="20"/>
                <w:szCs w:val="20"/>
              </w:rPr>
              <w:t>ltn_sat = 0.8712</w:t>
            </w:r>
          </w:p>
        </w:tc>
        <w:tc>
          <w:tcPr>
            <w:tcW w:w="1626" w:type="dxa"/>
            <w:tcBorders>
              <w:top w:val="single" w:color="CCCCCC" w:sz="0" w:space="0"/>
              <w:left w:val="single" w:color="CCCCCC" w:sz="0" w:space="0"/>
              <w:bottom w:val="single" w:color="CCCCCC" w:sz="0" w:space="0"/>
              <w:right w:val="single" w:color="CCCCCC" w:sz="0" w:space="0"/>
            </w:tcBorders>
            <w:shd w:val="clear" w:color="auto" w:fill="FFFFFF"/>
            <w:tcMar>
              <w:top w:w="60" w:type="dxa"/>
              <w:left w:w="100" w:type="dxa"/>
              <w:bottom w:w="60" w:type="dxa"/>
              <w:right w:w="100" w:type="dxa"/>
            </w:tcMar>
          </w:tcPr>
          <w:p w14:paraId="0B2ACBB5">
            <w:pPr>
              <w:jc w:val="center"/>
              <w:rPr>
                <w:b w:val="0"/>
                <w:bCs w:val="0"/>
              </w:rPr>
            </w:pPr>
            <w:r>
              <w:rPr>
                <w:rFonts w:ascii="Arial" w:hAnsi="Arial" w:eastAsia="Arial" w:cs="Arial"/>
                <w:b w:val="0"/>
                <w:bCs w:val="0"/>
                <w:sz w:val="20"/>
                <w:szCs w:val="20"/>
              </w:rPr>
              <w:t>量化验证</w:t>
            </w:r>
          </w:p>
        </w:tc>
      </w:tr>
      <w:tr w14:paraId="299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8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538D4A6F">
            <w:pPr>
              <w:jc w:val="center"/>
              <w:rPr>
                <w:b w:val="0"/>
                <w:bCs w:val="0"/>
              </w:rPr>
            </w:pPr>
            <w:r>
              <w:rPr>
                <w:rFonts w:ascii="Arial" w:hAnsi="Arial" w:eastAsia="Arial" w:cs="Arial"/>
                <w:b w:val="0"/>
                <w:bCs w:val="0"/>
                <w:sz w:val="20"/>
                <w:szCs w:val="20"/>
              </w:rPr>
              <w:t>训练稳定性</w:t>
            </w:r>
          </w:p>
        </w:tc>
        <w:tc>
          <w:tcPr>
            <w:tcW w:w="22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A2E1667">
            <w:pPr>
              <w:jc w:val="center"/>
              <w:rPr>
                <w:b w:val="0"/>
                <w:bCs w:val="0"/>
              </w:rPr>
            </w:pPr>
            <w:r>
              <w:rPr>
                <w:rFonts w:ascii="Arial" w:hAnsi="Arial" w:eastAsia="Arial" w:cs="Arial"/>
                <w:b w:val="0"/>
                <w:bCs w:val="0"/>
                <w:sz w:val="20"/>
                <w:szCs w:val="20"/>
              </w:rPr>
              <w:t>无特殊处理</w:t>
            </w:r>
          </w:p>
        </w:tc>
        <w:tc>
          <w:tcPr>
            <w:tcW w:w="2400"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026D69A1">
            <w:pPr>
              <w:jc w:val="center"/>
              <w:rPr>
                <w:b w:val="0"/>
                <w:bCs w:val="0"/>
              </w:rPr>
            </w:pPr>
            <w:r>
              <w:rPr>
                <w:rFonts w:ascii="Arial" w:hAnsi="Arial" w:eastAsia="Arial" w:cs="Arial"/>
                <w:b w:val="0"/>
                <w:bCs w:val="0"/>
                <w:sz w:val="20"/>
                <w:szCs w:val="20"/>
              </w:rPr>
              <w:t>梯度裁剪+safe()，全程稳定</w:t>
            </w:r>
          </w:p>
        </w:tc>
        <w:tc>
          <w:tcPr>
            <w:tcW w:w="1626" w:type="dxa"/>
            <w:tcBorders>
              <w:top w:val="single" w:color="CCCCCC" w:sz="0" w:space="0"/>
              <w:left w:val="single" w:color="CCCCCC" w:sz="0" w:space="0"/>
              <w:bottom w:val="single" w:color="CCCCCC" w:sz="0" w:space="0"/>
              <w:right w:val="single" w:color="CCCCCC" w:sz="0" w:space="0"/>
            </w:tcBorders>
            <w:shd w:val="clear" w:color="auto" w:fill="EBF4FB"/>
            <w:tcMar>
              <w:top w:w="60" w:type="dxa"/>
              <w:left w:w="100" w:type="dxa"/>
              <w:bottom w:w="60" w:type="dxa"/>
              <w:right w:w="100" w:type="dxa"/>
            </w:tcMar>
          </w:tcPr>
          <w:p w14:paraId="35B4B22B">
            <w:pPr>
              <w:jc w:val="center"/>
              <w:rPr>
                <w:b w:val="0"/>
                <w:bCs w:val="0"/>
              </w:rPr>
            </w:pPr>
            <w:r>
              <w:rPr>
                <w:rFonts w:ascii="Arial" w:hAnsi="Arial" w:eastAsia="Arial" w:cs="Arial"/>
                <w:b w:val="0"/>
                <w:bCs w:val="0"/>
                <w:sz w:val="20"/>
                <w:szCs w:val="20"/>
              </w:rPr>
              <w:t>工程保障</w:t>
            </w:r>
          </w:p>
        </w:tc>
      </w:tr>
    </w:tbl>
    <w:p w14:paraId="016EEDFB">
      <w:pPr>
        <w:spacing w:before="40" w:after="40"/>
        <w:rPr>
          <w:b w:val="0"/>
          <w:bCs w:val="0"/>
        </w:rPr>
      </w:pPr>
    </w:p>
    <w:p w14:paraId="4D62544E">
      <w:pPr>
        <w:pStyle w:val="3"/>
        <w:bidi w:val="0"/>
      </w:pPr>
      <w:r>
        <w:t>第 8 章  结论与展望</w:t>
      </w:r>
    </w:p>
    <w:p w14:paraId="51E48413">
      <w:pPr>
        <w:pStyle w:val="4"/>
        <w:bidi w:val="0"/>
      </w:pPr>
      <w:r>
        <w:t>8.1 主要结论</w:t>
      </w:r>
    </w:p>
    <w:p w14:paraId="0D79C70C">
      <w:pPr>
        <w:spacing w:before="60" w:after="100"/>
        <w:ind w:firstLine="480" w:firstLineChars="200"/>
        <w:jc w:val="both"/>
        <w:rPr>
          <w:b w:val="0"/>
          <w:bCs w:val="0"/>
          <w:sz w:val="24"/>
          <w:szCs w:val="24"/>
        </w:rPr>
      </w:pPr>
      <w:r>
        <w:rPr>
          <w:rFonts w:ascii="Arial" w:hAnsi="Arial" w:eastAsia="Arial" w:cs="Arial"/>
          <w:b w:val="0"/>
          <w:bCs w:val="0"/>
          <w:sz w:val="24"/>
          <w:szCs w:val="24"/>
        </w:rPr>
        <w:t>本实验成功将 LTNtorch 神经符号框架从原论文的单谓词演示性场景推广到真实的多标签、多规则、多不平衡挑战的 CNF 数学公理分类任务上，以下结论得到充分验证：</w:t>
      </w:r>
    </w:p>
    <w:p w14:paraId="29B2404E">
      <w:pPr>
        <w:spacing w:before="60" w:after="100"/>
        <w:jc w:val="both"/>
        <w:rPr>
          <w:b w:val="0"/>
          <w:bCs w:val="0"/>
          <w:sz w:val="24"/>
          <w:szCs w:val="24"/>
        </w:rPr>
      </w:pPr>
      <w:r>
        <w:rPr>
          <w:rFonts w:ascii="Arial" w:hAnsi="Arial" w:eastAsia="Arial" w:cs="Arial"/>
          <w:b w:val="0"/>
          <w:bCs w:val="0"/>
          <w:sz w:val="24"/>
          <w:szCs w:val="24"/>
        </w:rPr>
        <w:t>（1）混合损失机制完全解决了预测坍塌问题。 α=0.3 的混合损失配置在保留逻辑规则真实约束意义的同时，通过 70% 权重的监督信号防止了纯 LTN 训练的坍塌，训练全程稳定。</w:t>
      </w:r>
    </w:p>
    <w:p w14:paraId="173C4D39">
      <w:pPr>
        <w:spacing w:before="60" w:after="100"/>
        <w:jc w:val="both"/>
        <w:rPr>
          <w:b w:val="0"/>
          <w:bCs w:val="0"/>
          <w:sz w:val="24"/>
          <w:szCs w:val="24"/>
        </w:rPr>
      </w:pPr>
      <w:r>
        <w:rPr>
          <w:rFonts w:ascii="Arial" w:hAnsi="Arial" w:eastAsia="Arial" w:cs="Arial"/>
          <w:b w:val="0"/>
          <w:bCs w:val="0"/>
          <w:sz w:val="24"/>
          <w:szCs w:val="24"/>
        </w:rPr>
        <w:t>（2）TF-IDF 特征对符号级区分任务高效可靠。 4 个具有明确符号特征的谓词（empty、setrel、functor、manysym）达到了 AUC ≥ 0.977 的优秀性能，验证了特征工程方案的有效性。</w:t>
      </w:r>
    </w:p>
    <w:p w14:paraId="0D98FDC9">
      <w:pPr>
        <w:spacing w:before="60" w:after="100"/>
        <w:jc w:val="both"/>
        <w:rPr>
          <w:b w:val="0"/>
          <w:bCs w:val="0"/>
          <w:sz w:val="24"/>
          <w:szCs w:val="24"/>
        </w:rPr>
      </w:pPr>
      <w:r>
        <w:rPr>
          <w:rFonts w:ascii="Arial" w:hAnsi="Arial" w:eastAsia="Arial" w:cs="Arial"/>
          <w:b w:val="0"/>
          <w:bCs w:val="0"/>
          <w:sz w:val="24"/>
          <w:szCs w:val="24"/>
        </w:rPr>
        <w:t>（3）逻辑规则被神经网络有效内化。 总体规则满足度 87.12%，其中数学必然规则 R3 满足度达 0.9933，互斥规则 R5 达 0.9420，验证了神经符号框架在知识驱动学习上的实际价值。</w:t>
      </w:r>
    </w:p>
    <w:p w14:paraId="00F46E86">
      <w:pPr>
        <w:spacing w:before="60" w:after="100"/>
        <w:jc w:val="both"/>
        <w:rPr>
          <w:b w:val="0"/>
          <w:bCs w:val="0"/>
          <w:sz w:val="24"/>
          <w:szCs w:val="24"/>
        </w:rPr>
      </w:pPr>
      <w:r>
        <w:rPr>
          <w:rFonts w:ascii="Arial" w:hAnsi="Arial" w:eastAsia="Arial" w:cs="Arial"/>
          <w:b w:val="0"/>
          <w:bCs w:val="0"/>
          <w:sz w:val="24"/>
          <w:szCs w:val="24"/>
        </w:rPr>
        <w:t>（4）改进方案整体上是成功的。 在原论文方法无法直接应用的场景下，本实验的五项改进（混合损失、加权 BCE、独立多谓词网络、数值稳定保障、动态阈值）系统性地解决了实际落地挑战，取得了有意义的实验结果。</w:t>
      </w:r>
    </w:p>
    <w:p w14:paraId="70B37A72">
      <w:pPr>
        <w:spacing w:before="40" w:after="40"/>
        <w:rPr>
          <w:b w:val="0"/>
          <w:bCs w:val="0"/>
          <w:sz w:val="24"/>
          <w:szCs w:val="24"/>
        </w:rPr>
      </w:pPr>
    </w:p>
    <w:p w14:paraId="74B2ACCC">
      <w:pPr>
        <w:pStyle w:val="4"/>
        <w:bidi w:val="0"/>
      </w:pPr>
      <w:r>
        <w:t>8.2 局限性</w:t>
      </w:r>
    </w:p>
    <w:p w14:paraId="53FBDCF8">
      <w:pPr>
        <w:pStyle w:val="16"/>
        <w:numPr>
          <w:ilvl w:val="0"/>
          <w:numId w:val="1"/>
        </w:numPr>
        <w:spacing w:before="40" w:after="40"/>
        <w:rPr>
          <w:b w:val="0"/>
          <w:bCs w:val="0"/>
          <w:sz w:val="24"/>
          <w:szCs w:val="24"/>
        </w:rPr>
      </w:pPr>
      <w:r>
        <w:rPr>
          <w:rFonts w:ascii="Arial" w:hAnsi="Arial" w:eastAsia="Arial" w:cs="Arial"/>
          <w:b w:val="0"/>
          <w:bCs w:val="0"/>
          <w:sz w:val="24"/>
          <w:szCs w:val="24"/>
        </w:rPr>
        <w:t>TF-IDF 特征无法捕捉公式的树状句法结构，导致 theorem/definition 的 AUC 偏低（0.58~0.71）</w:t>
      </w:r>
    </w:p>
    <w:p w14:paraId="1150DA10">
      <w:pPr>
        <w:pStyle w:val="16"/>
        <w:numPr>
          <w:ilvl w:val="0"/>
          <w:numId w:val="1"/>
        </w:numPr>
        <w:spacing w:before="40" w:after="40"/>
        <w:rPr>
          <w:b w:val="0"/>
          <w:bCs w:val="0"/>
          <w:sz w:val="24"/>
          <w:szCs w:val="24"/>
        </w:rPr>
      </w:pPr>
      <w:r>
        <w:rPr>
          <w:rFonts w:ascii="Arial" w:hAnsi="Arial" w:eastAsia="Arial" w:cs="Arial"/>
          <w:b w:val="0"/>
          <w:bCs w:val="0"/>
          <w:sz w:val="24"/>
          <w:szCs w:val="24"/>
        </w:rPr>
        <w:t>commut 的 F1=0.076 反映极端不平衡（7个正例）下精确率与召回率的根本矛盾，需要更激进的数据增强策略</w:t>
      </w:r>
    </w:p>
    <w:p w14:paraId="37E4FCE9">
      <w:pPr>
        <w:pStyle w:val="16"/>
        <w:numPr>
          <w:ilvl w:val="0"/>
          <w:numId w:val="1"/>
        </w:numPr>
        <w:spacing w:before="40" w:after="40"/>
        <w:rPr>
          <w:b w:val="0"/>
          <w:bCs w:val="0"/>
          <w:sz w:val="24"/>
          <w:szCs w:val="24"/>
        </w:rPr>
      </w:pPr>
      <w:r>
        <w:rPr>
          <w:rFonts w:ascii="Arial" w:hAnsi="Arial" w:eastAsia="Arial" w:cs="Arial"/>
          <w:b w:val="0"/>
          <w:bCs w:val="0"/>
          <w:sz w:val="24"/>
          <w:szCs w:val="24"/>
        </w:rPr>
        <w:t>R4 规则满足度偏低（0.61）说明该先验规则本身不够精确，引入可能对 theorem 的学习产生轻微负面干扰</w:t>
      </w:r>
    </w:p>
    <w:p w14:paraId="2703DABB">
      <w:pPr>
        <w:pStyle w:val="16"/>
        <w:numPr>
          <w:ilvl w:val="0"/>
          <w:numId w:val="1"/>
        </w:numPr>
        <w:spacing w:before="40" w:after="40"/>
        <w:rPr>
          <w:b w:val="0"/>
          <w:bCs w:val="0"/>
          <w:sz w:val="24"/>
          <w:szCs w:val="24"/>
        </w:rPr>
      </w:pPr>
      <w:r>
        <w:rPr>
          <w:rFonts w:ascii="Arial" w:hAnsi="Arial" w:eastAsia="Arial" w:cs="Arial"/>
          <w:b w:val="0"/>
          <w:bCs w:val="0"/>
          <w:sz w:val="24"/>
          <w:szCs w:val="24"/>
        </w:rPr>
        <w:t>知识库规则为手工设计，未利用数据驱动的规则归纳方法，可能遗漏更有效的隐含规则</w:t>
      </w:r>
    </w:p>
    <w:p w14:paraId="531FEF6D">
      <w:pPr>
        <w:spacing w:before="40" w:after="40"/>
        <w:rPr>
          <w:b w:val="0"/>
          <w:bCs w:val="0"/>
        </w:rPr>
      </w:pPr>
    </w:p>
    <w:p w14:paraId="69FC33F2">
      <w:pPr>
        <w:pStyle w:val="4"/>
        <w:bidi w:val="0"/>
      </w:pPr>
      <w:r>
        <w:t>8.3 未来改进方向</w:t>
      </w:r>
    </w:p>
    <w:p w14:paraId="3EDD1F99">
      <w:pPr>
        <w:pStyle w:val="16"/>
        <w:numPr>
          <w:ilvl w:val="0"/>
          <w:numId w:val="2"/>
        </w:numPr>
        <w:spacing w:before="40" w:after="40"/>
        <w:rPr>
          <w:b w:val="0"/>
          <w:bCs w:val="0"/>
          <w:sz w:val="24"/>
          <w:szCs w:val="24"/>
        </w:rPr>
      </w:pPr>
      <w:r>
        <w:rPr>
          <w:rFonts w:ascii="Arial" w:hAnsi="Arial" w:eastAsia="Arial" w:cs="Arial"/>
          <w:b w:val="0"/>
          <w:bCs w:val="0"/>
          <w:sz w:val="24"/>
          <w:szCs w:val="24"/>
        </w:rPr>
        <w:t>树结构特征：对 FOF 公式构建 AST（抽象语法树），使用 Tree-LSTM 或 GNN 编码树状结构，有望显著提升 theorem/definition 的区分能力</w:t>
      </w:r>
    </w:p>
    <w:p w14:paraId="433876F1">
      <w:pPr>
        <w:pStyle w:val="16"/>
        <w:numPr>
          <w:ilvl w:val="0"/>
          <w:numId w:val="2"/>
        </w:numPr>
        <w:spacing w:before="40" w:after="40"/>
        <w:rPr>
          <w:b w:val="0"/>
          <w:bCs w:val="0"/>
          <w:sz w:val="24"/>
          <w:szCs w:val="24"/>
        </w:rPr>
      </w:pPr>
      <w:r>
        <w:rPr>
          <w:rFonts w:ascii="Arial" w:hAnsi="Arial" w:eastAsia="Arial" w:cs="Arial"/>
          <w:b w:val="0"/>
          <w:bCs w:val="0"/>
          <w:sz w:val="24"/>
          <w:szCs w:val="24"/>
        </w:rPr>
        <w:t>生成式数据增强：针对 commut（23个全局正例）使用 VAE 或扩散模型生成合成正例，从根本上缓解极端不平衡</w:t>
      </w:r>
    </w:p>
    <w:p w14:paraId="1ADE942B">
      <w:pPr>
        <w:pStyle w:val="16"/>
        <w:numPr>
          <w:ilvl w:val="0"/>
          <w:numId w:val="2"/>
        </w:numPr>
        <w:spacing w:before="40" w:after="40"/>
        <w:rPr>
          <w:b w:val="0"/>
          <w:bCs w:val="0"/>
          <w:sz w:val="24"/>
          <w:szCs w:val="24"/>
        </w:rPr>
      </w:pPr>
      <w:r>
        <w:rPr>
          <w:rFonts w:ascii="Arial" w:hAnsi="Arial" w:eastAsia="Arial" w:cs="Arial"/>
          <w:b w:val="0"/>
          <w:bCs w:val="0"/>
          <w:sz w:val="24"/>
          <w:szCs w:val="24"/>
        </w:rPr>
        <w:t>规则自动归纳：引入归纳逻辑程序设计（ILP）从数据中自动发现规则，替换质量较低的手工规则（如 R4）</w:t>
      </w:r>
    </w:p>
    <w:p w14:paraId="321D57B5">
      <w:pPr>
        <w:pStyle w:val="16"/>
        <w:numPr>
          <w:ilvl w:val="0"/>
          <w:numId w:val="2"/>
        </w:numPr>
        <w:spacing w:before="40" w:after="40"/>
        <w:rPr>
          <w:b w:val="0"/>
          <w:bCs w:val="0"/>
          <w:sz w:val="24"/>
          <w:szCs w:val="24"/>
        </w:rPr>
      </w:pPr>
      <w:r>
        <w:rPr>
          <w:rFonts w:ascii="Arial" w:hAnsi="Arial" w:eastAsia="Arial" w:cs="Arial"/>
          <w:b w:val="0"/>
          <w:bCs w:val="0"/>
          <w:sz w:val="24"/>
          <w:szCs w:val="24"/>
        </w:rPr>
        <w:t>硬约束实现：将 R5（Definition ⇔ ¬Theorem）实现为优化约束而非软规则，直接保证互斥性</w:t>
      </w:r>
    </w:p>
    <w:p w14:paraId="0560C0AC">
      <w:pPr>
        <w:pStyle w:val="16"/>
        <w:numPr>
          <w:ilvl w:val="0"/>
          <w:numId w:val="2"/>
        </w:numPr>
        <w:spacing w:before="40" w:after="40"/>
        <w:rPr>
          <w:b w:val="0"/>
          <w:bCs w:val="0"/>
          <w:sz w:val="24"/>
          <w:szCs w:val="24"/>
        </w:rPr>
      </w:pPr>
      <w:r>
        <w:rPr>
          <w:rFonts w:ascii="Arial" w:hAnsi="Arial" w:eastAsia="Arial" w:cs="Arial"/>
          <w:b w:val="0"/>
          <w:bCs w:val="0"/>
          <w:sz w:val="24"/>
          <w:szCs w:val="24"/>
        </w:rPr>
        <w:t>预训练符号嵌入：利用数学符号的大规模共现统计预训练符号嵌入，替代 TF-IDF，引入更丰富的语义信息</w:t>
      </w:r>
    </w:p>
    <w:p w14:paraId="507F04CE">
      <w:pPr>
        <w:spacing w:before="40" w:after="40"/>
        <w:rPr>
          <w:b w:val="0"/>
          <w:bCs w:val="0"/>
        </w:rPr>
      </w:pPr>
    </w:p>
    <w:p w14:paraId="20ADF9EF">
      <w:pPr>
        <w:pStyle w:val="3"/>
        <w:bidi w:val="0"/>
      </w:pPr>
      <w:r>
        <w:t>参考文献</w:t>
      </w:r>
    </w:p>
    <w:p w14:paraId="33692314">
      <w:pPr>
        <w:spacing w:before="60" w:after="100"/>
        <w:jc w:val="both"/>
        <w:rPr>
          <w:b w:val="0"/>
          <w:bCs w:val="0"/>
        </w:rPr>
      </w:pPr>
      <w:r>
        <w:rPr>
          <w:rFonts w:ascii="Arial" w:hAnsi="Arial" w:eastAsia="Arial" w:cs="Arial"/>
          <w:b w:val="0"/>
          <w:bCs w:val="0"/>
          <w:sz w:val="22"/>
          <w:szCs w:val="22"/>
        </w:rPr>
        <w:t>[1] Badreddine, S., d'Avila Garcez, A., Serafini, L., &amp; Spranger, M. (2022). Logic Tensor Networks. Artificial Intelligence, 303, 103649.</w:t>
      </w:r>
    </w:p>
    <w:p w14:paraId="73A787D4">
      <w:pPr>
        <w:spacing w:before="60" w:after="100"/>
        <w:jc w:val="both"/>
        <w:rPr>
          <w:b w:val="0"/>
          <w:bCs w:val="0"/>
        </w:rPr>
      </w:pPr>
      <w:r>
        <w:rPr>
          <w:rFonts w:ascii="Arial" w:hAnsi="Arial" w:eastAsia="Arial" w:cs="Arial"/>
          <w:b w:val="0"/>
          <w:bCs w:val="0"/>
          <w:sz w:val="22"/>
          <w:szCs w:val="22"/>
        </w:rPr>
        <w:t>[2] Carraro, T., Serafini, L., &amp; Aiolli, F. (2024). LTNtorch: PyTorch Implementation of Logic Tensor Networks. Journal of Machine Learning Research, 25, 1-5. arXiv:2409.16045v1.</w:t>
      </w:r>
    </w:p>
    <w:p w14:paraId="036C4489">
      <w:pPr>
        <w:spacing w:before="60" w:after="100"/>
        <w:jc w:val="both"/>
        <w:rPr>
          <w:b w:val="0"/>
          <w:bCs w:val="0"/>
        </w:rPr>
      </w:pPr>
      <w:r>
        <w:rPr>
          <w:rFonts w:ascii="Arial" w:hAnsi="Arial" w:eastAsia="Arial" w:cs="Arial"/>
          <w:b w:val="0"/>
          <w:bCs w:val="0"/>
          <w:sz w:val="22"/>
          <w:szCs w:val="22"/>
        </w:rPr>
        <w:t>[3] van Krieken, E., Acar, E., &amp; van Harmelen, F. (2022). Analyzing differentiable fuzzy logic operators. Artificial Intelligence, 302, 103602.</w:t>
      </w:r>
    </w:p>
    <w:p w14:paraId="3C16DBB0">
      <w:pPr>
        <w:spacing w:before="60" w:after="100"/>
        <w:jc w:val="both"/>
        <w:rPr>
          <w:b w:val="0"/>
          <w:bCs w:val="0"/>
        </w:rPr>
      </w:pPr>
      <w:r>
        <w:rPr>
          <w:rFonts w:ascii="Arial" w:hAnsi="Arial" w:eastAsia="Arial" w:cs="Arial"/>
          <w:b w:val="0"/>
          <w:bCs w:val="0"/>
          <w:sz w:val="22"/>
          <w:szCs w:val="22"/>
        </w:rPr>
        <w:t>[4] d'Avila Garcez, A. S., Lamb, L. C., &amp; Gabbay, D. M. (2009). Neural-Symbolic Learning Systems, pp. 35-54. Springer Berlin Heidelberg.</w:t>
      </w:r>
    </w:p>
    <w:p w14:paraId="33C0D8C2">
      <w:pPr>
        <w:spacing w:before="60" w:after="100"/>
        <w:jc w:val="both"/>
        <w:rPr>
          <w:b w:val="0"/>
          <w:bCs w:val="0"/>
        </w:rPr>
      </w:pPr>
      <w:r>
        <w:rPr>
          <w:rFonts w:ascii="Arial" w:hAnsi="Arial" w:eastAsia="Arial" w:cs="Arial"/>
          <w:b w:val="0"/>
          <w:bCs w:val="0"/>
          <w:sz w:val="22"/>
          <w:szCs w:val="22"/>
        </w:rPr>
        <w:t>[5] Cintula, P., Hajek, P., &amp; Noguera, C. (2011). Handbook of Mathematical Fuzzy Logic, Volume 1. College Publications.</w:t>
      </w:r>
    </w:p>
    <w:p w14:paraId="0203B973">
      <w:pPr>
        <w:spacing w:before="60" w:after="100"/>
        <w:jc w:val="both"/>
        <w:rPr>
          <w:b w:val="0"/>
          <w:bCs w:val="0"/>
        </w:rPr>
      </w:pPr>
      <w:r>
        <w:rPr>
          <w:rFonts w:ascii="Arial" w:hAnsi="Arial" w:eastAsia="Arial" w:cs="Arial"/>
          <w:b w:val="0"/>
          <w:bCs w:val="0"/>
          <w:sz w:val="22"/>
          <w:szCs w:val="22"/>
        </w:rPr>
        <w:t>[6] Flach, P. A. (2007). First-Order Logic, pp. 35-68. Springer Berlin Heidelberg.</w:t>
      </w:r>
    </w:p>
    <w:sectPr>
      <w:headerReference r:id="rId3" w:type="default"/>
      <w:pgSz w:w="11906" w:h="16838"/>
      <w:pgMar w:top="1440" w:right="1296" w:bottom="1440" w:left="1296"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5371A">
    <w:pPr>
      <w:pBdr>
        <w:bottom w:val="single" w:color="CCCCCC" w:sz="2" w:space="4"/>
      </w:pBdr>
      <w:tabs>
        <w:tab w:val="right" w:pos="9026"/>
      </w:tabs>
    </w:pPr>
    <w:r>
      <w:rPr>
        <w:rFonts w:ascii="Arial" w:hAnsi="Arial" w:eastAsia="Arial" w:cs="Arial"/>
        <w:color w:val="888888"/>
        <w:sz w:val="18"/>
        <w:szCs w:val="18"/>
      </w:rPr>
      <w:t>LTNtorch × CNF 公理分类实验报告</w:t>
    </w:r>
    <w:r>
      <w:rPr>
        <w:rFonts w:ascii="Arial" w:hAnsi="Arial" w:eastAsia="Arial" w:cs="Arial"/>
        <w:sz w:val="18"/>
        <w:szCs w:val="18"/>
      </w:rPr>
      <w:tab/>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useFELayout/>
    <w:compatSetting w:name="compatibilityMode" w:uri="http://schemas.microsoft.com/office/word" w:val="15"/>
  </w:compat>
  <w:rsids>
    <w:rsidRoot w:val="00000000"/>
    <w:rsid w:val="399A2898"/>
    <w:rsid w:val="3BD66BC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pBdr>
        <w:bottom w:val="single" w:color="1F5C8B" w:sz="4" w:space="4"/>
      </w:pBdr>
      <w:spacing w:before="360" w:after="180"/>
      <w:outlineLvl w:val="0"/>
    </w:pPr>
    <w:rPr>
      <w:rFonts w:ascii="Arial" w:hAnsi="Arial" w:eastAsia="Arial" w:cs="Arial"/>
      <w:b/>
      <w:bCs/>
      <w:color w:val="1F3864"/>
      <w:sz w:val="32"/>
      <w:szCs w:val="32"/>
    </w:rPr>
  </w:style>
  <w:style w:type="paragraph" w:styleId="3">
    <w:name w:val="heading 2"/>
    <w:next w:val="1"/>
    <w:qFormat/>
    <w:uiPriority w:val="0"/>
    <w:pPr>
      <w:spacing w:before="240" w:after="120"/>
      <w:outlineLvl w:val="1"/>
    </w:pPr>
    <w:rPr>
      <w:rFonts w:ascii="Arial" w:hAnsi="Arial" w:eastAsia="宋体" w:cs="Arial"/>
      <w:b/>
      <w:bCs/>
      <w:color w:val="000000" w:themeColor="text1"/>
      <w:sz w:val="32"/>
      <w:szCs w:val="28"/>
      <w14:textFill>
        <w14:solidFill>
          <w14:schemeClr w14:val="tx1"/>
        </w14:solidFill>
      </w14:textFill>
    </w:rPr>
  </w:style>
  <w:style w:type="paragraph" w:styleId="4">
    <w:name w:val="heading 3"/>
    <w:next w:val="1"/>
    <w:qFormat/>
    <w:uiPriority w:val="0"/>
    <w:pPr>
      <w:spacing w:before="180" w:after="80"/>
      <w:outlineLvl w:val="2"/>
    </w:pPr>
    <w:rPr>
      <w:rFonts w:ascii="Arial" w:hAnsi="Arial" w:eastAsia="宋体" w:cs="Arial"/>
      <w:bCs/>
      <w:color w:val="000000" w:themeColor="text1"/>
      <w:sz w:val="30"/>
      <w:szCs w:val="24"/>
      <w14:textFill>
        <w14:solidFill>
          <w14:schemeClr w14:val="tx1"/>
        </w14:solidFill>
      </w14:textFill>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qFormat/>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Words>2763</Words>
  <Characters>3848</Characters>
  <TotalTime>2</TotalTime>
  <ScaleCrop>false</ScaleCrop>
  <LinksUpToDate>false</LinksUpToDate>
  <CharactersWithSpaces>4251</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2026-05-30T07:25:00Z</dcterms:created>
  <dc:creator>Un-named</dc:creator>
  <cp:lastModifiedBy>WPS_1669272209</cp:lastModifiedBy>
  <dcterms:modified xsi:type="dcterms:W3CDTF">2026-05-30T09:11:39Z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eyJoZGlkIjoiMjM2N2VmMjRiZTJiOTY3OWM1YThiMjdkOTIxNjBkNjIiLCJ1c2VySWQiOiIxNDQ2NjY2NDUwIn0=</vt:lpwstr>
  </property>
  <property fmtid="{D5CDD505-2E9C-101B-9397-08002B2CF9AE}" pid="3" name="KSOProductBuildVer">
    <vt:lpwstr>2052-12.1.0.25225</vt:lpwstr>
  </property>
  <property fmtid="{D5CDD505-2E9C-101B-9397-08002B2CF9AE}" pid="4" name="ICV">
    <vt:lpwstr>75327D5E82D648D7A30FDD05F4DD3DE0_13</vt:lpwstr>
  </property>
</Properties>
</file>