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numPr>
          <w:ilvl w:val="0"/>
          <w:numId w:val="1"/>
        </w:numPr>
        <w:spacing w:after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Lee, S. (2016). </w:t>
      </w:r>
      <w:r w:rsidDel="00000000" w:rsidR="00000000" w:rsidRPr="00000000">
        <w:rPr>
          <w:i w:val="1"/>
          <w:color w:val="666666"/>
          <w:sz w:val="20"/>
          <w:szCs w:val="20"/>
          <w:highlight w:val="white"/>
          <w:rtl w:val="0"/>
        </w:rPr>
        <w:t xml:space="preserve">How Does an Electronic Load Regulate It’s... | Keysight Community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. [online] Community.keysight.com. Available at: https://community.keysight.com/community/keysight-blogs/general-electronics-measurement/blog/2016/09/16/how-does-an-electronic-load-regulate-it-s-input-voltage-current-and-resistance [Accessed 27 Sep. 2018].</w:t>
      </w:r>
    </w:p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320" w:lineRule="auto"/>
        <w:ind w:left="720" w:hanging="360"/>
        <w:rPr>
          <w:color w:val="666666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