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40"/>
        <w:gridCol w:w="1347"/>
        <w:gridCol w:w="759"/>
        <w:gridCol w:w="1150"/>
        <w:gridCol w:w="397"/>
        <w:gridCol w:w="1390"/>
        <w:gridCol w:w="1433"/>
        <w:gridCol w:w="255"/>
        <w:gridCol w:w="484"/>
        <w:gridCol w:w="1277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C77311">
        <w:tc>
          <w:tcPr>
            <w:tcW w:w="188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5" w:type="dxa"/>
            <w:gridSpan w:val="8"/>
          </w:tcPr>
          <w:p w:rsidR="008F0556" w:rsidRDefault="00C065D5" w:rsidP="006D561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TC-UX-MUX-UT-v0.1</w:t>
            </w:r>
            <w:r w:rsidR="006D5619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-02</w:t>
            </w:r>
          </w:p>
        </w:tc>
      </w:tr>
      <w:tr w:rsidR="008F0556" w:rsidTr="00C77311">
        <w:tc>
          <w:tcPr>
            <w:tcW w:w="188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5" w:type="dxa"/>
            <w:gridSpan w:val="8"/>
          </w:tcPr>
          <w:p w:rsidR="008F0556" w:rsidRDefault="00C065D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Menu Visual Effects</w:t>
            </w:r>
          </w:p>
        </w:tc>
      </w:tr>
      <w:tr w:rsidR="00DF09D9" w:rsidTr="00C77311">
        <w:tc>
          <w:tcPr>
            <w:tcW w:w="188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306" w:type="dxa"/>
            <w:gridSpan w:val="3"/>
          </w:tcPr>
          <w:p w:rsidR="008F0556" w:rsidRDefault="00C065D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1" w:type="dxa"/>
            <w:gridSpan w:val="2"/>
          </w:tcPr>
          <w:p w:rsidR="008F0556" w:rsidRDefault="00C065D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C77311">
        <w:tc>
          <w:tcPr>
            <w:tcW w:w="1887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306" w:type="dxa"/>
            <w:gridSpan w:val="3"/>
          </w:tcPr>
          <w:p w:rsidR="008F0556" w:rsidRDefault="00C065D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UX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1" w:type="dxa"/>
            <w:gridSpan w:val="2"/>
          </w:tcPr>
          <w:p w:rsidR="008F0556" w:rsidRDefault="00C065D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C77311">
        <w:tc>
          <w:tcPr>
            <w:tcW w:w="1887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306" w:type="dxa"/>
            <w:gridSpan w:val="3"/>
          </w:tcPr>
          <w:p w:rsidR="008F0556" w:rsidRDefault="00C87180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Laila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1" w:type="dxa"/>
            <w:gridSpan w:val="2"/>
          </w:tcPr>
          <w:p w:rsidR="008F0556" w:rsidRDefault="00C87180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May 2011</w:t>
            </w:r>
          </w:p>
        </w:tc>
      </w:tr>
      <w:tr w:rsidR="00294A4E" w:rsidTr="00C77311">
        <w:tc>
          <w:tcPr>
            <w:tcW w:w="1887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5" w:type="dxa"/>
            <w:gridSpan w:val="8"/>
          </w:tcPr>
          <w:p w:rsidR="00294A4E" w:rsidRDefault="00C87180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C065D5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</w:t>
            </w:r>
            <w:r w:rsidR="009330DC">
              <w:rPr>
                <w:rFonts w:ascii="Arial" w:hAnsi="Arial" w:cs="Arial"/>
                <w:sz w:val="24"/>
                <w:szCs w:val="24"/>
              </w:rPr>
              <w:t>test whether the Menu Visual Effects fits the theme of Skyrim, effectiveness of the visual effects and fulfils the development requirements Immersive world with more realistic elements.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9330DC" w:rsidRDefault="009330DC" w:rsidP="009330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6D5619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9330DC" w:rsidRDefault="009330DC" w:rsidP="009330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menu scene, options scene, load scene with menu visual effects are coded, prepared and loaded into test build TESV_v0.1</w:t>
            </w:r>
            <w:r w:rsidR="006D5619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30DC" w:rsidRDefault="009330DC" w:rsidP="009330D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9330DC" w:rsidRDefault="009330DC" w:rsidP="009330DC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330DC">
              <w:rPr>
                <w:rFonts w:ascii="Arial" w:hAnsi="Arial" w:cs="Arial"/>
                <w:sz w:val="24"/>
                <w:szCs w:val="24"/>
              </w:rPr>
              <w:t>Test begins when the tester is loaded into the main menu.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C77311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06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787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C77311">
        <w:tc>
          <w:tcPr>
            <w:tcW w:w="540" w:type="dxa"/>
          </w:tcPr>
          <w:p w:rsidR="00294A4E" w:rsidRPr="00294A4E" w:rsidRDefault="009330D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06" w:type="dxa"/>
            <w:gridSpan w:val="2"/>
          </w:tcPr>
          <w:p w:rsidR="00294A4E" w:rsidRPr="00294A4E" w:rsidRDefault="009330D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examine the particle effects, mouse click effects</w:t>
            </w:r>
            <w:r w:rsidR="00C77311">
              <w:rPr>
                <w:rFonts w:ascii="Arial" w:hAnsi="Arial" w:cs="Arial"/>
                <w:sz w:val="20"/>
                <w:szCs w:val="24"/>
              </w:rPr>
              <w:t xml:space="preserve"> and highlight effects.</w:t>
            </w:r>
          </w:p>
        </w:tc>
        <w:tc>
          <w:tcPr>
            <w:tcW w:w="1150" w:type="dxa"/>
          </w:tcPr>
          <w:p w:rsidR="00294A4E" w:rsidRPr="00294A4E" w:rsidRDefault="00C7731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7" w:type="dxa"/>
            <w:gridSpan w:val="2"/>
          </w:tcPr>
          <w:p w:rsidR="00294A4E" w:rsidRPr="00C77311" w:rsidRDefault="00C77311" w:rsidP="00F656A3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particle effects fit the theme of Skyrim. The mouse click effect and highlight effect </w:t>
            </w:r>
            <w:r w:rsidR="00F656A3">
              <w:rPr>
                <w:rFonts w:ascii="Arial" w:hAnsi="Arial" w:cs="Arial"/>
                <w:sz w:val="20"/>
                <w:szCs w:val="24"/>
              </w:rPr>
              <w:t>give suitable feedback to the user.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C77311">
        <w:tc>
          <w:tcPr>
            <w:tcW w:w="540" w:type="dxa"/>
          </w:tcPr>
          <w:p w:rsidR="00294A4E" w:rsidRPr="00294A4E" w:rsidRDefault="00C7731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06" w:type="dxa"/>
            <w:gridSpan w:val="2"/>
          </w:tcPr>
          <w:p w:rsidR="00294A4E" w:rsidRPr="00294A4E" w:rsidRDefault="00C77311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go in game.</w:t>
            </w:r>
          </w:p>
        </w:tc>
        <w:tc>
          <w:tcPr>
            <w:tcW w:w="1150" w:type="dxa"/>
          </w:tcPr>
          <w:p w:rsidR="00294A4E" w:rsidRPr="00294A4E" w:rsidRDefault="00C7731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7" w:type="dxa"/>
            <w:gridSpan w:val="2"/>
          </w:tcPr>
          <w:p w:rsidR="00294A4E" w:rsidRPr="00294A4E" w:rsidRDefault="00C77311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in play screen.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C77311">
        <w:tc>
          <w:tcPr>
            <w:tcW w:w="540" w:type="dxa"/>
          </w:tcPr>
          <w:p w:rsidR="00294A4E" w:rsidRPr="00294A4E" w:rsidRDefault="00C7731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06" w:type="dxa"/>
            <w:gridSpan w:val="2"/>
          </w:tcPr>
          <w:p w:rsidR="00294A4E" w:rsidRPr="00294A4E" w:rsidRDefault="00C77311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with the in game pause menu, inventory menu, skills menu, equipment menu, upgrade menu.</w:t>
            </w:r>
          </w:p>
        </w:tc>
        <w:tc>
          <w:tcPr>
            <w:tcW w:w="1150" w:type="dxa"/>
          </w:tcPr>
          <w:p w:rsidR="00294A4E" w:rsidRDefault="00C77311" w:rsidP="00C7731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Press “I” for Inventory menu, press “R” for skills menu, press “Q” equipment menu and press “N” for upgrade menu.</w:t>
            </w:r>
          </w:p>
          <w:p w:rsidR="00EA1152" w:rsidRDefault="00EA1152" w:rsidP="00C7731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  <w:p w:rsidR="00EA1152" w:rsidRDefault="00EA1152" w:rsidP="00C7731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  <w:p w:rsidR="00EA1152" w:rsidRPr="00294A4E" w:rsidRDefault="00EA1152" w:rsidP="00C7731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87" w:type="dxa"/>
            <w:gridSpan w:val="2"/>
          </w:tcPr>
          <w:p w:rsidR="00294A4E" w:rsidRPr="00294A4E" w:rsidRDefault="00C77311" w:rsidP="00F656A3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in game pause menu, inventory menu, skills menu, equipment menu and upgrade menu all give </w:t>
            </w:r>
            <w:r w:rsidR="00F656A3">
              <w:rPr>
                <w:rFonts w:ascii="Arial" w:hAnsi="Arial" w:cs="Arial"/>
                <w:sz w:val="20"/>
                <w:szCs w:val="24"/>
              </w:rPr>
              <w:t>suitable</w:t>
            </w:r>
            <w:r>
              <w:rPr>
                <w:rFonts w:ascii="Arial" w:hAnsi="Arial" w:cs="Arial"/>
                <w:sz w:val="20"/>
                <w:szCs w:val="24"/>
              </w:rPr>
              <w:t xml:space="preserve"> feedback to the user and fit the theme of Skyrim.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C77311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particle effects, mouse click effects and highlight effects managed to give decent feedback to the users and they all fit the theme of Skyrim.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D3AC5"/>
    <w:rsid w:val="00474DE4"/>
    <w:rsid w:val="00527754"/>
    <w:rsid w:val="00595B8D"/>
    <w:rsid w:val="006369CC"/>
    <w:rsid w:val="006D5619"/>
    <w:rsid w:val="008F0556"/>
    <w:rsid w:val="009330DC"/>
    <w:rsid w:val="00943637"/>
    <w:rsid w:val="009D7353"/>
    <w:rsid w:val="009F7635"/>
    <w:rsid w:val="00A75055"/>
    <w:rsid w:val="00A90F1C"/>
    <w:rsid w:val="00AF2F8C"/>
    <w:rsid w:val="00C065D5"/>
    <w:rsid w:val="00C249B6"/>
    <w:rsid w:val="00C77311"/>
    <w:rsid w:val="00C87180"/>
    <w:rsid w:val="00DF09D9"/>
    <w:rsid w:val="00EA1152"/>
    <w:rsid w:val="00F00532"/>
    <w:rsid w:val="00F21530"/>
    <w:rsid w:val="00F6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2017-08-07T12:05:00Z</dcterms:created>
  <dcterms:modified xsi:type="dcterms:W3CDTF">2017-08-08T15:04:00Z</dcterms:modified>
</cp:coreProperties>
</file>