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900"/>
      </w:pPr>
      <w:r>
        <w:rPr>
          <w:b/>
          <w:bCs/>
          <w:color w:val="1F3864"/>
          <w:sz w:val="54"/>
          <w:szCs w:val="54"/>
        </w:rPr>
        <w:t xml:space="preserve">Vabatim</w:t>
      </w:r>
    </w:p>
    <w:p>
      <w:pPr>
        <w:spacing w:after="300"/>
      </w:pPr>
      <w:r>
        <w:rPr>
          <w:color w:val="595959"/>
          <w:sz w:val="26"/>
          <w:szCs w:val="26"/>
        </w:rPr>
        <w:t xml:space="preserve">Engineering Summary — Audit, Rebuild and Free-Tier Architecture</w:t>
      </w:r>
    </w:p>
    <w:p>
      <w:pPr>
        <w:pBdr>
          <w:bottom w:val="single" w:color="D0D5DD" w:sz="6"/>
        </w:pBdr>
        <w:spacing w:after="240"/>
      </w:pPr>
    </w:p>
    <w:p>
      <w:pPr>
        <w:spacing w:after="120"/>
      </w:pPr>
      <w:r>
        <w:rPr>
          <w:sz w:val="21"/>
          <w:szCs w:val="21"/>
        </w:rPr>
        <w:t xml:space="preserve">A consolidated account of three rounds of work on the Vabatim clinical documentation application: what was found, what was rebuilt, what it costs to run, and what remains unverified. Supersedes the earlier audit report and deployment guide.</w:t>
      </w:r>
    </w:p>
    <w:p>
      <w:pPr>
        <w:spacing w:after="120"/>
      </w:pPr>
      <w:r>
        <w:rPr>
          <w:sz w:val="21"/>
          <w:szCs w:val="21"/>
        </w:rPr>
        <w:t xml:space="preserve">27 August 2026 · Emmanuel Inem, Sara Ventures · merged at commit ab292ca</w:t>
      </w:r>
    </w:p>
    <w:p>
      <w:r>
        <w:br w:type="page"/>
      </w:r>
    </w:p>
    <w:p>
      <w:pPr>
        <w:pStyle w:val="Heading1"/>
      </w:pPr>
      <w:r>
        <w:t xml:space="preserve">What happened, in short</w:t>
      </w:r>
    </w:p>
    <w:p>
      <w:pPr>
        <w:spacing w:after="120"/>
      </w:pPr>
      <w:r>
        <w:rPr>
          <w:sz w:val="21"/>
          <w:szCs w:val="21"/>
        </w:rPr>
        <w:t xml:space="preserve">You reported two problems: the product mis-heard what was said, and the note it produced was poor. Both turned out to be symptoms of the same thing. Neither the speech layer nor the AI layer was doing the job its structure implied, and each covered for the other.</w:t>
      </w:r>
    </w:p>
    <w:p>
      <w:pPr>
        <w:spacing w:after="120"/>
      </w:pPr>
      <w:r>
        <w:rPr>
          <w:sz w:val="21"/>
          <w:szCs w:val="21"/>
        </w:rPr>
        <w:t xml:space="preserve">The capture layer invented information it did not have — speaker identity, confidence scores, utterance timing. The "AI extraction" was not AI at all but a keyword matcher whose output was copied into as many as seven clinical sections at once. And the Gemini model the system was configured to call did not exist, so in production the model was never reached.</w:t>
      </w:r>
    </w:p>
    <w:p>
      <w:pPr>
        <w:spacing w:after="120"/>
      </w:pPr>
      <w:r>
        <w:rPr>
          <w:sz w:val="21"/>
          <w:szCs w:val="21"/>
        </w:rPr>
        <w:t xml:space="preserve">Thirty-two defects were confirmed and fixed. Three capabilities that had never existed were built. Then the whole thing was re-architected to run at effectively zero cost, which reversed several earlier decisions — correctly.</w:t>
      </w:r>
    </w:p>
    <w:p>
      <w:pPr>
        <w:shd w:fill="FEF3E2" w:color="auto" w:val="clear"/>
        <w:spacing w:after="140"/>
      </w:pPr>
      <w:r>
        <w:rPr>
          <w:color w:val="7A3E00"/>
          <w:sz w:val="20"/>
          <w:szCs w:val="20"/>
        </w:rPr>
        <w:t xml:space="preserve">Two of the production failures in the final round were mine, introduced in an earlier round: I tightened request validation and the CORS allowlist without a matching client deploy. Both are fixed and pinned by regression tests. They are itemised in full below.</w:t>
      </w:r>
    </w:p>
    <w:p>
      <w:pPr>
        <w:pStyle w:val="Heading2"/>
      </w:pPr>
      <w:r>
        <w:t xml:space="preserve">The four defects that explain most of what you saw</w:t>
      </w:r>
    </w:p>
    <w:p>
      <w:pPr>
        <w:spacing w:after="120"/>
      </w:pPr>
      <w:r>
        <w:rPr>
          <w:b/>
          <w:bCs/>
          <w:color w:val="1F3864"/>
          <w:sz w:val="21"/>
          <w:szCs w:val="21"/>
        </w:rPr>
        <w:t xml:space="preserve">Speaker labels were fabricated.  </w:t>
      </w:r>
      <w:r>
        <w:rPr>
          <w:sz w:val="21"/>
          <w:szCs w:val="21"/>
        </w:rPr>
        <w:t xml:space="preserve">Each utterance was labelled by alternating on parity — odd became the therapist, even the client — regardless of who spoke. Chrome performs no diarisation, so this was a coin flip, and patient symptoms were routinely filed as clinician observations.</w:t>
      </w:r>
    </w:p>
    <w:p>
      <w:pPr>
        <w:spacing w:after="120"/>
      </w:pPr>
      <w:r>
        <w:rPr>
          <w:b/>
          <w:bCs/>
          <w:color w:val="1F3864"/>
          <w:sz w:val="21"/>
          <w:szCs w:val="21"/>
        </w:rPr>
        <w:t xml:space="preserve">The role lookup never matched.  </w:t>
      </w:r>
      <w:r>
        <w:rPr>
          <w:sz w:val="21"/>
          <w:szCs w:val="21"/>
        </w:rPr>
        <w:t xml:space="preserve">Those labels were looked up by exact key against "Speaker 1"/"Speaker 2" while the capture layer emitted "Speaker 1 (Therapist)". Every lookup failed, so every role was null — and because the extractor filtered concerns and recommendations on role, both sections were empty on every note ever generated through the device path. This is the single largest cause of notes reading as empty.</w:t>
      </w:r>
    </w:p>
    <w:p>
      <w:pPr>
        <w:spacing w:after="120"/>
      </w:pPr>
      <w:r>
        <w:rPr>
          <w:b/>
          <w:bCs/>
          <w:color w:val="1F3864"/>
          <w:sz w:val="21"/>
          <w:szCs w:val="21"/>
        </w:rPr>
        <w:t xml:space="preserve">One bucket was copied into seven sections.  </w:t>
      </w:r>
      <w:r>
        <w:rPr>
          <w:sz w:val="21"/>
          <w:szCs w:val="21"/>
        </w:rPr>
        <w:t xml:space="preserve">The same matched transcript lines were written into up to seven different clinical fields. That is precisely why notes read as the same fragment repeated under every heading.</w:t>
      </w:r>
    </w:p>
    <w:p>
      <w:pPr>
        <w:spacing w:after="120"/>
      </w:pPr>
      <w:r>
        <w:rPr>
          <w:b/>
          <w:bCs/>
          <w:color w:val="1F3864"/>
          <w:sz w:val="21"/>
          <w:szCs w:val="21"/>
        </w:rPr>
        <w:t xml:space="preserve">The configured model did not exist.  </w:t>
      </w:r>
      <w:r>
        <w:rPr>
          <w:sz w:val="21"/>
          <w:szCs w:val="21"/>
        </w:rPr>
        <w:t xml:space="preserve">GEMINI_MODEL was "gemini-3.6-flash". Git history shows five commits chasing 404s across model names, while the deployment pinned the retired "gemini-1.5-pro". Every extraction call in production failed.</w:t>
      </w:r>
    </w:p>
    <w:p>
      <w:pPr>
        <w:pStyle w:val="Heading2"/>
      </w:pPr>
      <w:r>
        <w:t xml:space="preserve">The patient-safety findings</w:t>
      </w:r>
    </w:p>
    <w:p>
      <w:pPr>
        <w:shd w:fill="FDECEA" w:color="auto" w:val="clear"/>
        <w:spacing w:after="140"/>
      </w:pPr>
      <w:r>
        <w:rPr>
          <w:color w:val="B02418"/>
          <w:sz w:val="20"/>
          <w:szCs w:val="20"/>
        </w:rPr>
        <w:t xml:space="preserve">The speech provider returned two hardcoded clinical sentences — a named pressure-sore complaint and a "15-degree posterior pelvic tilt" observation — whenever recognition was unavailable, which server-side is always. That is invented clinical content entering a patient record, and it is more dangerous than a blank note because it is specific and plausible.</w:t>
      </w:r>
    </w:p>
    <w:p>
      <w:pPr>
        <w:spacing w:after="120"/>
      </w:pPr>
      <w:r>
        <w:rPr>
          <w:sz w:val="21"/>
          <w:szCs w:val="21"/>
        </w:rPr>
        <w:t xml:space="preserve">Alongside it: missing confidence scores were coerced to 0.95, which disabled every uncertainty safeguard in the system; speech the extractor could not classify was discarded without trace; and the document download route had no authentication at all, so anyone who knew a meeting id could retrieve that patient’s clinical note. Two credentials were also exposed: a working clinician password hardcoded in the shipped JavaScript, and a published default JWT secret with no production guard.</w:t>
      </w:r>
    </w:p>
    <w:p>
      <w:pPr>
        <w:shd w:fill="FDECEA" w:color="auto" w:val="clear"/>
        <w:spacing w:after="140"/>
      </w:pPr>
      <w:r>
        <w:rPr>
          <w:color w:val="B02418"/>
          <w:sz w:val="20"/>
          <w:szCs w:val="20"/>
        </w:rPr>
        <w:t xml:space="preserve">Rotate the credential that was hardcoded in the client bundle. Assume it is compromised.</w:t>
      </w:r>
    </w:p>
    <w:p>
      <w:r>
        <w:br w:type="page"/>
      </w:r>
    </w:p>
    <w:p>
      <w:pPr>
        <w:pStyle w:val="Heading1"/>
      </w:pPr>
      <w:r>
        <w:t xml:space="preserve">The three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F3864" w:color="auto" w:val="clear"/>
            <w:tcMar>
              <w:top w:type="dxa" w:w="70"/>
              <w:left w:type="dxa" w:w="110"/>
              <w:bottom w:type="dxa" w:w="70"/>
              <w:right w:type="dxa" w:w="110"/>
            </w:tcMar>
          </w:tcPr>
          <w:p>
            <w:r>
              <w:rPr>
                <w:b/>
                <w:bCs/>
                <w:color w:val="FFFFFF"/>
                <w:sz w:val="18"/>
                <w:szCs w:val="18"/>
              </w:rPr>
              <w:t xml:space="preserve">Round</w:t>
            </w:r>
          </w:p>
        </w:tc>
        <w:tc>
          <w:tcPr>
            <w:tcW w:type="dxa" w:w="3500"/>
            <w:shd w:fill="1F3864" w:color="auto" w:val="clear"/>
            <w:tcMar>
              <w:top w:type="dxa" w:w="70"/>
              <w:left w:type="dxa" w:w="110"/>
              <w:bottom w:type="dxa" w:w="70"/>
              <w:right w:type="dxa" w:w="110"/>
            </w:tcMar>
          </w:tcPr>
          <w:p>
            <w:r>
              <w:rPr>
                <w:b/>
                <w:bCs/>
                <w:color w:val="FFFFFF"/>
                <w:sz w:val="18"/>
                <w:szCs w:val="18"/>
              </w:rPr>
              <w:t xml:space="preserve">Focus</w:t>
            </w:r>
          </w:p>
        </w:tc>
        <w:tc>
          <w:tcPr>
            <w:tcW w:type="dxa" w:w="4360"/>
            <w:shd w:fill="1F3864" w:color="auto" w:val="clear"/>
            <w:tcMar>
              <w:top w:type="dxa" w:w="70"/>
              <w:left w:type="dxa" w:w="110"/>
              <w:bottom w:type="dxa" w:w="70"/>
              <w:right w:type="dxa" w:w="110"/>
            </w:tcMar>
          </w:tcPr>
          <w:p>
            <w:r>
              <w:rPr>
                <w:b/>
                <w:bCs/>
                <w:color w:val="FFFFFF"/>
                <w:sz w:val="18"/>
                <w:szCs w:val="18"/>
              </w:rPr>
              <w:t xml:space="preserve">Outcome</w:t>
            </w:r>
          </w:p>
        </w:tc>
      </w:tr>
      <w:tr>
        <w:tc>
          <w:tcPr>
            <w:tcW w:type="dxa" w:w="1500"/>
            <w:tcMar>
              <w:top w:type="dxa" w:w="70"/>
              <w:left w:type="dxa" w:w="110"/>
              <w:bottom w:type="dxa" w:w="70"/>
              <w:right w:type="dxa" w:w="110"/>
            </w:tcMar>
          </w:tcPr>
          <w:p>
            <w:r>
              <w:rPr>
                <w:sz w:val="18"/>
                <w:szCs w:val="18"/>
              </w:rPr>
              <w:t xml:space="preserve">One</w:t>
            </w:r>
          </w:p>
        </w:tc>
        <w:tc>
          <w:tcPr>
            <w:tcW w:type="dxa" w:w="3500"/>
            <w:tcMar>
              <w:top w:type="dxa" w:w="70"/>
              <w:left w:type="dxa" w:w="110"/>
              <w:bottom w:type="dxa" w:w="70"/>
              <w:right w:type="dxa" w:w="110"/>
            </w:tcMar>
          </w:tcPr>
          <w:p>
            <w:r>
              <w:rPr>
                <w:sz w:val="18"/>
                <w:szCs w:val="18"/>
              </w:rPr>
              <w:t xml:space="preserve">Audit of the speech and AI layers against the clinical template</w:t>
            </w:r>
          </w:p>
        </w:tc>
        <w:tc>
          <w:tcPr>
            <w:tcW w:type="dxa" w:w="4360"/>
            <w:tcMar>
              <w:top w:type="dxa" w:w="70"/>
              <w:left w:type="dxa" w:w="110"/>
              <w:bottom w:type="dxa" w:w="70"/>
              <w:right w:type="dxa" w:w="110"/>
            </w:tcMar>
          </w:tcPr>
          <w:p>
            <w:r>
              <w:rPr>
                <w:sz w:val="18"/>
                <w:szCs w:val="18"/>
              </w:rPr>
              <w:t xml:space="preserve">24 defects found and fixed. Made the system honest: it stopped inventing speakers, confidence and findings, and started saying when it did not know.</w:t>
            </w:r>
          </w:p>
        </w:tc>
      </w:tr>
      <w:tr>
        <w:tc>
          <w:tcPr>
            <w:tcW w:type="dxa" w:w="1500"/>
            <w:shd w:fill="F7F8FA" w:color="auto" w:val="clear"/>
            <w:tcMar>
              <w:top w:type="dxa" w:w="70"/>
              <w:left w:type="dxa" w:w="110"/>
              <w:bottom w:type="dxa" w:w="70"/>
              <w:right w:type="dxa" w:w="110"/>
            </w:tcMar>
          </w:tcPr>
          <w:p>
            <w:r>
              <w:rPr>
                <w:sz w:val="18"/>
                <w:szCs w:val="18"/>
              </w:rPr>
              <w:t xml:space="preserve">Two</w:t>
            </w:r>
          </w:p>
        </w:tc>
        <w:tc>
          <w:tcPr>
            <w:tcW w:type="dxa" w:w="3500"/>
            <w:shd w:fill="F7F8FA" w:color="auto" w:val="clear"/>
            <w:tcMar>
              <w:top w:type="dxa" w:w="70"/>
              <w:left w:type="dxa" w:w="110"/>
              <w:bottom w:type="dxa" w:w="70"/>
              <w:right w:type="dxa" w:w="110"/>
            </w:tcMar>
          </w:tcPr>
          <w:p>
            <w:r>
              <w:rPr>
                <w:sz w:val="18"/>
                <w:szCs w:val="18"/>
              </w:rPr>
              <w:t xml:space="preserve">The three capabilities that were missing rather than broken</w:t>
            </w:r>
          </w:p>
        </w:tc>
        <w:tc>
          <w:tcPr>
            <w:tcW w:type="dxa" w:w="4360"/>
            <w:shd w:fill="F7F8FA" w:color="auto" w:val="clear"/>
            <w:tcMar>
              <w:top w:type="dxa" w:w="70"/>
              <w:left w:type="dxa" w:w="110"/>
              <w:bottom w:type="dxa" w:w="70"/>
              <w:right w:type="dxa" w:w="110"/>
            </w:tcMar>
          </w:tcPr>
          <w:p>
            <w:r>
              <w:rPr>
                <w:sz w:val="18"/>
                <w:szCs w:val="18"/>
              </w:rPr>
              <w:t xml:space="preserve">Real diarisation providers, clinical vocabulary biasing, and a specialist-depth prompt. Honest is not the same as good; this round closed that gap.</w:t>
            </w:r>
          </w:p>
        </w:tc>
      </w:tr>
      <w:tr>
        <w:tc>
          <w:tcPr>
            <w:tcW w:type="dxa" w:w="1500"/>
            <w:tcMar>
              <w:top w:type="dxa" w:w="70"/>
              <w:left w:type="dxa" w:w="110"/>
              <w:bottom w:type="dxa" w:w="70"/>
              <w:right w:type="dxa" w:w="110"/>
            </w:tcMar>
          </w:tcPr>
          <w:p>
            <w:r>
              <w:rPr>
                <w:sz w:val="18"/>
                <w:szCs w:val="18"/>
              </w:rPr>
              <w:t xml:space="preserve">Three</w:t>
            </w:r>
          </w:p>
        </w:tc>
        <w:tc>
          <w:tcPr>
            <w:tcW w:type="dxa" w:w="3500"/>
            <w:tcMar>
              <w:top w:type="dxa" w:w="70"/>
              <w:left w:type="dxa" w:w="110"/>
              <w:bottom w:type="dxa" w:w="70"/>
              <w:right w:type="dxa" w:w="110"/>
            </w:tcMar>
          </w:tcPr>
          <w:p>
            <w:r>
              <w:rPr>
                <w:sz w:val="18"/>
                <w:szCs w:val="18"/>
              </w:rPr>
              <w:t xml:space="preserve">Free-tier rebuild against the full product brief</w:t>
            </w:r>
          </w:p>
        </w:tc>
        <w:tc>
          <w:tcPr>
            <w:tcW w:type="dxa" w:w="4360"/>
            <w:tcMar>
              <w:top w:type="dxa" w:w="70"/>
              <w:left w:type="dxa" w:w="110"/>
              <w:bottom w:type="dxa" w:w="70"/>
              <w:right w:type="dxa" w:w="110"/>
            </w:tcMar>
          </w:tcPr>
          <w:p>
            <w:r>
              <w:rPr>
                <w:sz w:val="18"/>
                <w:szCs w:val="18"/>
              </w:rPr>
              <w:t xml:space="preserve">Removed the paid dependencies introduced in round two, fixed two production outages, and rebuilt the clinical pipeline around structured extraction, review and approval.</w:t>
            </w:r>
          </w:p>
        </w:tc>
      </w:tr>
    </w:tbl>
    <w:p>
      <w:pPr>
        <w:spacing w:after="120"/>
      </w:pPr>
      <w:r>
        <w:rPr>
          <w:sz w:val="21"/>
          <w:szCs w:val="21"/>
        </w:rPr>
        <w:t xml:space="preserve"/>
      </w:r>
    </w:p>
    <w:p>
      <w:pPr>
        <w:spacing w:after="120"/>
      </w:pPr>
      <w:r>
        <w:rPr>
          <w:sz w:val="21"/>
          <w:szCs w:val="21"/>
        </w:rPr>
        <w:t xml:space="preserve">Round three deliberately reversed several round-two decisions. Round two recommended Azure or Google speech for diarisation and a Render background worker for processing. Both are paid, and the product requirement is a near-zero-cost MVP. Those adapters remain in the codebase as optional, and nothing depends on them.</w:t>
      </w:r>
    </w:p>
    <w:p>
      <w:pPr>
        <w:pStyle w:val="Heading2"/>
      </w:pPr>
      <w:r>
        <w:t xml:space="preserve">The two production outages</w:t>
      </w:r>
    </w:p>
    <w:p>
      <w:pPr>
        <w:spacing w:after="120"/>
      </w:pPr>
      <w:r>
        <w:rPr>
          <w:b/>
          <w:bCs/>
          <w:color w:val="1F3864"/>
          <w:sz w:val="21"/>
          <w:szCs w:val="21"/>
        </w:rPr>
        <w:t xml:space="preserve">"Invalid request body" after End Session.  </w:t>
      </w:r>
      <w:r>
        <w:rPr>
          <w:sz w:val="21"/>
          <w:szCs w:val="21"/>
        </w:rPr>
        <w:t xml:space="preserve">I tightened the transcript schema without a matching frontend deploy. Two payloads the shipped client was already sending were rejected: utterances in the first three seconds carried a NEGATIVE startTimeMs (the old client computed now − start − 3000) and failed the non-negative rule, and an empty segments array failed a minimum-length rule. Both surfaced as the same opaque string. Timestamps are UI metadata, not clinical content — they are now coerced rather than rejected, and an empty transcript gets its own explained response.</w:t>
      </w:r>
    </w:p>
    <w:p>
      <w:pPr>
        <w:spacing w:after="120"/>
      </w:pPr>
      <w:r>
        <w:rPr>
          <w:b/>
          <w:bCs/>
          <w:color w:val="1F3864"/>
          <w:sz w:val="21"/>
          <w:szCs w:val="21"/>
        </w:rPr>
        <w:t xml:space="preserve">"Not allowed by CORS" in the Render logs.  </w:t>
      </w:r>
      <w:r>
        <w:rPr>
          <w:sz w:val="21"/>
          <w:szCs w:val="21"/>
        </w:rPr>
        <w:t xml:space="preserve">I replaced a hardcoded production origin with an environment-driven allowlist. With CORS_ORIGIN and APP_BASE_URL unset on Render, the list collapsed to localhost and every browser request was refused — and the rejection was thrown, producing an opaque 500. The production origin is now compiled in as a floor that configuration extends, and a refusal returns a 403 naming the origin.</w:t>
      </w:r>
    </w:p>
    <w:p>
      <w:r>
        <w:br w:type="page"/>
      </w:r>
    </w:p>
    <w:p>
      <w:pPr>
        <w:pStyle w:val="Heading1"/>
      </w:pPr>
      <w:r>
        <w:t xml:space="preserve">How it works now</w:t>
      </w:r>
    </w:p>
    <w:p>
      <w:pPr>
        <w:shd w:fill="F2F4F8" w:color="auto" w:val="clear"/>
        <w:spacing w:after="60"/>
      </w:pPr>
      <w:r>
        <w:rPr>
          <w:rFonts w:ascii="Consolas" w:cs="Consolas" w:eastAsia="Consolas" w:hAnsi="Consolas"/>
          <w:sz w:val="18"/>
          <w:szCs w:val="18"/>
        </w:rPr>
        <w:t xml:space="preserve">Microphone → MediaRecorder (optional, independent lifecycle)</w:t>
      </w:r>
    </w:p>
    <w:p>
      <w:pPr>
        <w:shd w:fill="F2F4F8" w:color="auto" w:val="clear"/>
        <w:spacing w:after="60"/>
      </w:pPr>
      <w:r>
        <w:rPr>
          <w:rFonts w:ascii="Consolas" w:cs="Consolas" w:eastAsia="Consolas" w:hAnsi="Consolas"/>
          <w:sz w:val="18"/>
          <w:szCs w:val="18"/>
        </w:rPr>
        <w:t xml:space="preserve">          → SpeechRecognition → interim (UI only) / final (committed once)</w:t>
      </w:r>
    </w:p>
    <w:p>
      <w:pPr>
        <w:shd w:fill="F2F4F8" w:color="auto" w:val="clear"/>
        <w:spacing w:after="60"/>
      </w:pPr>
      <w:r>
        <w:rPr>
          <w:rFonts w:ascii="Consolas" w:cs="Consolas" w:eastAsia="Consolas" w:hAnsi="Consolas"/>
          <w:sz w:val="18"/>
          <w:szCs w:val="18"/>
        </w:rPr>
        <w:t xml:space="preserve">          → End Assessment → frozen transcript → IndexedDB checkpoint</w:t>
      </w:r>
    </w:p>
    <w:p>
      <w:pPr>
        <w:shd w:fill="F2F4F8" w:color="auto" w:val="clear"/>
        <w:spacing w:after="60"/>
      </w:pPr>
      <w:r>
        <w:rPr>
          <w:rFonts w:ascii="Consolas" w:cs="Consolas" w:eastAsia="Consolas" w:hAnsi="Consolas"/>
          <w:sz w:val="18"/>
          <w:szCs w:val="18"/>
        </w:rPr>
        <w:t xml:space="preserve">          → POST text → persist job, freeze transcript → 202 + jobId</w:t>
      </w:r>
    </w:p>
    <w:p>
      <w:pPr>
        <w:shd w:fill="F2F4F8" w:color="auto" w:val="clear"/>
        <w:spacing w:after="60"/>
      </w:pPr>
      <w:r>
        <w:rPr>
          <w:rFonts w:ascii="Consolas" w:cs="Consolas" w:eastAsia="Consolas" w:hAnsi="Consolas"/>
          <w:sz w:val="18"/>
          <w:szCs w:val="18"/>
        </w:rPr>
        <w:t xml:space="preserve">          → chunk → Gemini structured extraction (text only, untrusted-delimited)</w:t>
      </w:r>
    </w:p>
    <w:p>
      <w:pPr>
        <w:shd w:fill="F2F4F8" w:color="auto" w:val="clear"/>
        <w:spacing w:after="60"/>
      </w:pPr>
      <w:r>
        <w:rPr>
          <w:rFonts w:ascii="Consolas" w:cs="Consolas" w:eastAsia="Consolas" w:hAnsi="Consolas"/>
          <w:sz w:val="18"/>
          <w:szCs w:val="18"/>
        </w:rPr>
        <w:t xml:space="preserve">          → Zod validation → bounded repair → grounding drop → merge</w:t>
      </w:r>
    </w:p>
    <w:p>
      <w:pPr>
        <w:shd w:fill="F2F4F8" w:color="auto" w:val="clear"/>
        <w:spacing w:after="60"/>
      </w:pPr>
      <w:r>
        <w:rPr>
          <w:rFonts w:ascii="Consolas" w:cs="Consolas" w:eastAsia="Consolas" w:hAnsi="Consolas"/>
          <w:sz w:val="18"/>
          <w:szCs w:val="18"/>
        </w:rPr>
        <w:t xml:space="preserve">          → deterministic narrative → REVIEW_REQUIRED</w:t>
      </w:r>
    </w:p>
    <w:p>
      <w:pPr>
        <w:shd w:fill="F2F4F8" w:color="auto" w:val="clear"/>
        <w:spacing w:after="60"/>
      </w:pPr>
      <w:r>
        <w:rPr>
          <w:rFonts w:ascii="Consolas" w:cs="Consolas" w:eastAsia="Consolas" w:hAnsi="Consolas"/>
          <w:sz w:val="18"/>
          <w:szCs w:val="18"/>
        </w:rPr>
        <w:t xml:space="preserve">          → clinician edits (new version) → explicit attestation → APPROVED</w:t>
      </w:r>
    </w:p>
    <w:p>
      <w:pPr>
        <w:shd w:fill="F2F4F8" w:color="auto" w:val="clear"/>
        <w:spacing w:after="60"/>
      </w:pPr>
      <w:r>
        <w:rPr>
          <w:rFonts w:ascii="Consolas" w:cs="Consolas" w:eastAsia="Consolas" w:hAnsi="Consolas"/>
          <w:sz w:val="18"/>
          <w:szCs w:val="18"/>
        </w:rPr>
        <w:t xml:space="preserve">          → PDF / DOCX from the approved narrative</w:t>
      </w:r>
    </w:p>
    <w:p>
      <w:pPr>
        <w:spacing w:after="120"/>
      </w:pPr>
      <w:r>
        <w:rPr>
          <w:sz w:val="21"/>
          <w:szCs w:val="21"/>
        </w:rPr>
        <w:t xml:space="preserve"/>
      </w:r>
    </w:p>
    <w:p>
      <w:pPr>
        <w:spacing w:after="120"/>
      </w:pPr>
      <w:r>
        <w:rPr>
          <w:sz w:val="21"/>
          <w:szCs w:val="21"/>
        </w:rPr>
        <w:t xml:space="preserve">Four design decisions carry most of the weight.</w:t>
      </w:r>
    </w:p>
    <w:p>
      <w:pPr>
        <w:spacing w:after="120"/>
      </w:pPr>
      <w:r>
        <w:rPr>
          <w:b/>
          <w:bCs/>
          <w:color w:val="1F3864"/>
          <w:sz w:val="21"/>
          <w:szCs w:val="21"/>
        </w:rPr>
        <w:t xml:space="preserve">The transcript is text, and Gemini only ever sees text.  </w:t>
      </w:r>
      <w:r>
        <w:rPr>
          <w:sz w:val="21"/>
          <w:szCs w:val="21"/>
        </w:rPr>
        <w:t xml:space="preserve">Recognition happens on the clinician’s device. No audio is uploaded by default, no audio reaches the model, and the request is small. That is what makes the free tier viable and the privacy story simple enough to explain.</w:t>
      </w:r>
    </w:p>
    <w:p>
      <w:pPr>
        <w:spacing w:after="120"/>
      </w:pPr>
      <w:r>
        <w:rPr>
          <w:b/>
          <w:bCs/>
          <w:color w:val="1F3864"/>
          <w:sz w:val="21"/>
          <w:szCs w:val="21"/>
        </w:rPr>
        <w:t xml:space="preserve">Structure before prose.  </w:t>
      </w:r>
      <w:r>
        <w:rPr>
          <w:sz w:val="21"/>
          <w:szCs w:val="21"/>
        </w:rPr>
        <w:t xml:space="preserve">The model produces validated clinical facts, each carrying its source type, certainty, laterality, measurement and a verbatim quote. Only then is the narrative composed — and that composition is deterministic code, not a second model call, because by that point letting a model "write it up" would reintroduce the invention two stages just prevented.</w:t>
      </w:r>
    </w:p>
    <w:p>
      <w:pPr>
        <w:spacing w:after="120"/>
      </w:pPr>
      <w:r>
        <w:rPr>
          <w:b/>
          <w:bCs/>
          <w:color w:val="1F3864"/>
          <w:sz w:val="21"/>
          <w:szCs w:val="21"/>
        </w:rPr>
        <w:t xml:space="preserve">A fact you cannot quote is a fact you must not write.  </w:t>
      </w:r>
      <w:r>
        <w:rPr>
          <w:sz w:val="21"/>
          <w:szCs w:val="21"/>
        </w:rPr>
        <w:t xml:space="preserve">Every claim is checked against the transcript it came from. Anything ungrounded is dropped and reported, never shown to the clinician. The synthetic test deliberately feeds the pipeline a fabricated pressure ulcer to prove this works.</w:t>
      </w:r>
    </w:p>
    <w:p>
      <w:pPr>
        <w:spacing w:after="120"/>
      </w:pPr>
      <w:r>
        <w:rPr>
          <w:b/>
          <w:bCs/>
          <w:color w:val="1F3864"/>
          <w:sz w:val="21"/>
          <w:szCs w:val="21"/>
        </w:rPr>
        <w:t xml:space="preserve">The job is persisted before any work starts.  </w:t>
      </w:r>
      <w:r>
        <w:rPr>
          <w:sz w:val="21"/>
          <w:szCs w:val="21"/>
        </w:rPr>
        <w:t xml:space="preserve">A refresh, a navigation away or a service restart leaves the work recoverable instead of lost. This is what makes a free web service — which sleeps — survivable.</w:t>
      </w:r>
    </w:p>
    <w:p>
      <w:pPr>
        <w:pStyle w:val="Heading2"/>
      </w:pPr>
      <w:r>
        <w:t xml:space="preserve">What it refuses to do</w:t>
      </w:r>
    </w:p>
    <w:p>
      <w:pPr>
        <w:spacing w:after="120"/>
      </w:pPr>
      <w:r>
        <w:rPr>
          <w:sz w:val="21"/>
          <w:szCs w:val="21"/>
        </w:rPr>
        <w:t xml:space="preserve">It will not guess who spoke. It will not turn silence into a normal finding. It will not resolve a contradiction — if the person says they have not fallen and the carer says they fell twice last week, both are recorded and flagged. It will not treat transcript content as instructions, even when someone in the room says "ignore previous instructions". It will not present an AI draft as clinician-approved. And it will not claim an email was sent when the mock provider sent nothing.</w:t>
      </w:r>
    </w:p>
    <w:p>
      <w:r>
        <w:br w:type="page"/>
      </w:r>
    </w:p>
    <w:p>
      <w:pPr>
        <w:pStyle w:val="Heading1"/>
      </w:pPr>
      <w:r>
        <w:t xml:space="preserve">What it costs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4060"/>
      </w:tblGrid>
      <w:tr>
        <w:trPr>
          <w:tblHeader/>
        </w:trPr>
        <w:tc>
          <w:tcPr>
            <w:tcW w:type="dxa" w:w="3200"/>
            <w:shd w:fill="1F3864" w:color="auto" w:val="clear"/>
            <w:tcMar>
              <w:top w:type="dxa" w:w="70"/>
              <w:left w:type="dxa" w:w="110"/>
              <w:bottom w:type="dxa" w:w="70"/>
              <w:right w:type="dxa" w:w="110"/>
            </w:tcMar>
          </w:tcPr>
          <w:p>
            <w:r>
              <w:rPr>
                <w:b/>
                <w:bCs/>
                <w:color w:val="FFFFFF"/>
                <w:sz w:val="18"/>
                <w:szCs w:val="18"/>
              </w:rPr>
              <w:t xml:space="preserve">Dependency</w:t>
            </w:r>
          </w:p>
        </w:tc>
        <w:tc>
          <w:tcPr>
            <w:tcW w:type="dxa" w:w="2100"/>
            <w:shd w:fill="1F3864" w:color="auto" w:val="clear"/>
            <w:tcMar>
              <w:top w:type="dxa" w:w="70"/>
              <w:left w:type="dxa" w:w="110"/>
              <w:bottom w:type="dxa" w:w="70"/>
              <w:right w:type="dxa" w:w="110"/>
            </w:tcMar>
          </w:tcPr>
          <w:p>
            <w:r>
              <w:rPr>
                <w:b/>
                <w:bCs/>
                <w:color w:val="FFFFFF"/>
                <w:sz w:val="18"/>
                <w:szCs w:val="18"/>
              </w:rPr>
              <w:t xml:space="preserve">Status</w:t>
            </w:r>
          </w:p>
        </w:tc>
        <w:tc>
          <w:tcPr>
            <w:tcW w:type="dxa" w:w="4060"/>
            <w:shd w:fill="1F3864" w:color="auto" w:val="clear"/>
            <w:tcMar>
              <w:top w:type="dxa" w:w="70"/>
              <w:left w:type="dxa" w:w="110"/>
              <w:bottom w:type="dxa" w:w="70"/>
              <w:right w:type="dxa" w:w="110"/>
            </w:tcMar>
          </w:tcPr>
          <w:p>
            <w:r>
              <w:rPr>
                <w:b/>
                <w:bCs/>
                <w:color w:val="FFFFFF"/>
                <w:sz w:val="18"/>
                <w:szCs w:val="18"/>
              </w:rPr>
              <w:t xml:space="preserve">Notes</w:t>
            </w:r>
          </w:p>
        </w:tc>
      </w:tr>
      <w:tr>
        <w:tc>
          <w:tcPr>
            <w:tcW w:type="dxa" w:w="3200"/>
            <w:tcMar>
              <w:top w:type="dxa" w:w="70"/>
              <w:left w:type="dxa" w:w="110"/>
              <w:bottom w:type="dxa" w:w="70"/>
              <w:right w:type="dxa" w:w="110"/>
            </w:tcMar>
          </w:tcPr>
          <w:p>
            <w:r>
              <w:rPr>
                <w:sz w:val="18"/>
                <w:szCs w:val="18"/>
              </w:rPr>
              <w:t xml:space="preserve">Vercel — frontend</w:t>
            </w:r>
          </w:p>
        </w:tc>
        <w:tc>
          <w:tcPr>
            <w:tcW w:type="dxa" w:w="2100"/>
            <w:tcMar>
              <w:top w:type="dxa" w:w="70"/>
              <w:left w:type="dxa" w:w="110"/>
              <w:bottom w:type="dxa" w:w="70"/>
              <w:right w:type="dxa" w:w="110"/>
            </w:tcMar>
          </w:tcPr>
          <w:p>
            <w:r>
              <w:rPr>
                <w:b/>
                <w:bCs/>
                <w:color w:val="166534"/>
                <w:sz w:val="17"/>
                <w:szCs w:val="17"/>
              </w:rPr>
              <w:t xml:space="preserve">FREE</w:t>
            </w:r>
          </w:p>
        </w:tc>
        <w:tc>
          <w:tcPr>
            <w:tcW w:type="dxa" w:w="4060"/>
            <w:tcMar>
              <w:top w:type="dxa" w:w="70"/>
              <w:left w:type="dxa" w:w="110"/>
              <w:bottom w:type="dxa" w:w="70"/>
              <w:right w:type="dxa" w:w="110"/>
            </w:tcMar>
          </w:tcPr>
          <w:p>
            <w:r>
              <w:rPr>
                <w:sz w:val="18"/>
                <w:szCs w:val="18"/>
              </w:rPr>
              <w:t xml:space="preserve">Hobby tier</w:t>
            </w:r>
          </w:p>
        </w:tc>
      </w:tr>
      <w:tr>
        <w:tc>
          <w:tcPr>
            <w:tcW w:type="dxa" w:w="3200"/>
            <w:shd w:fill="F7F8FA" w:color="auto" w:val="clear"/>
            <w:tcMar>
              <w:top w:type="dxa" w:w="70"/>
              <w:left w:type="dxa" w:w="110"/>
              <w:bottom w:type="dxa" w:w="70"/>
              <w:right w:type="dxa" w:w="110"/>
            </w:tcMar>
          </w:tcPr>
          <w:p>
            <w:r>
              <w:rPr>
                <w:sz w:val="18"/>
                <w:szCs w:val="18"/>
              </w:rPr>
              <w:t xml:space="preserve">Render — web service</w:t>
            </w:r>
          </w:p>
        </w:tc>
        <w:tc>
          <w:tcPr>
            <w:tcW w:type="dxa" w:w="2100"/>
            <w:shd w:fill="F7F8FA" w:color="auto" w:val="clear"/>
            <w:tcMar>
              <w:top w:type="dxa" w:w="70"/>
              <w:left w:type="dxa" w:w="110"/>
              <w:bottom w:type="dxa" w:w="70"/>
              <w:right w:type="dxa" w:w="110"/>
            </w:tcMar>
          </w:tcPr>
          <w:p>
            <w:r>
              <w:rPr>
                <w:b/>
                <w:bCs/>
                <w:color w:val="166534"/>
                <w:sz w:val="17"/>
                <w:szCs w:val="17"/>
              </w:rPr>
              <w:t xml:space="preserve">FREE</w:t>
            </w:r>
          </w:p>
        </w:tc>
        <w:tc>
          <w:tcPr>
            <w:tcW w:type="dxa" w:w="4060"/>
            <w:shd w:fill="F7F8FA" w:color="auto" w:val="clear"/>
            <w:tcMar>
              <w:top w:type="dxa" w:w="70"/>
              <w:left w:type="dxa" w:w="110"/>
              <w:bottom w:type="dxa" w:w="70"/>
              <w:right w:type="dxa" w:w="110"/>
            </w:tcMar>
          </w:tcPr>
          <w:p>
            <w:r>
              <w:rPr>
                <w:sz w:val="18"/>
                <w:szCs w:val="18"/>
              </w:rPr>
              <w:t xml:space="preserve">Sleeps after ~15 min idle; see limitations</w:t>
            </w:r>
          </w:p>
        </w:tc>
      </w:tr>
      <w:tr>
        <w:tc>
          <w:tcPr>
            <w:tcW w:type="dxa" w:w="3200"/>
            <w:tcMar>
              <w:top w:type="dxa" w:w="70"/>
              <w:left w:type="dxa" w:w="110"/>
              <w:bottom w:type="dxa" w:w="70"/>
              <w:right w:type="dxa" w:w="110"/>
            </w:tcMar>
          </w:tcPr>
          <w:p>
            <w:r>
              <w:rPr>
                <w:sz w:val="18"/>
                <w:szCs w:val="18"/>
              </w:rPr>
              <w:t xml:space="preserve">Render — Postgres</w:t>
            </w:r>
          </w:p>
        </w:tc>
        <w:tc>
          <w:tcPr>
            <w:tcW w:type="dxa" w:w="2100"/>
            <w:tcMar>
              <w:top w:type="dxa" w:w="70"/>
              <w:left w:type="dxa" w:w="110"/>
              <w:bottom w:type="dxa" w:w="70"/>
              <w:right w:type="dxa" w:w="110"/>
            </w:tcMar>
          </w:tcPr>
          <w:p>
            <w:r>
              <w:rPr>
                <w:b/>
                <w:bCs/>
                <w:color w:val="166534"/>
                <w:sz w:val="17"/>
                <w:szCs w:val="17"/>
              </w:rPr>
              <w:t xml:space="preserve">FREE</w:t>
            </w:r>
          </w:p>
        </w:tc>
        <w:tc>
          <w:tcPr>
            <w:tcW w:type="dxa" w:w="4060"/>
            <w:tcMar>
              <w:top w:type="dxa" w:w="70"/>
              <w:left w:type="dxa" w:w="110"/>
              <w:bottom w:type="dxa" w:w="70"/>
              <w:right w:type="dxa" w:w="110"/>
            </w:tcMar>
          </w:tcPr>
          <w:p>
            <w:r>
              <w:rPr>
                <w:sz w:val="18"/>
                <w:szCs w:val="18"/>
              </w:rPr>
              <w:t xml:space="preserve">Expires after ~30 days on the free plan</w:t>
            </w:r>
          </w:p>
        </w:tc>
      </w:tr>
      <w:tr>
        <w:tc>
          <w:tcPr>
            <w:tcW w:type="dxa" w:w="3200"/>
            <w:shd w:fill="F7F8FA" w:color="auto" w:val="clear"/>
            <w:tcMar>
              <w:top w:type="dxa" w:w="70"/>
              <w:left w:type="dxa" w:w="110"/>
              <w:bottom w:type="dxa" w:w="70"/>
              <w:right w:type="dxa" w:w="110"/>
            </w:tcMar>
          </w:tcPr>
          <w:p>
            <w:r>
              <w:rPr>
                <w:sz w:val="18"/>
                <w:szCs w:val="18"/>
              </w:rPr>
              <w:t xml:space="preserve">Gemini API</w:t>
            </w:r>
          </w:p>
        </w:tc>
        <w:tc>
          <w:tcPr>
            <w:tcW w:type="dxa" w:w="2100"/>
            <w:shd w:fill="F7F8FA" w:color="auto" w:val="clear"/>
            <w:tcMar>
              <w:top w:type="dxa" w:w="70"/>
              <w:left w:type="dxa" w:w="110"/>
              <w:bottom w:type="dxa" w:w="70"/>
              <w:right w:type="dxa" w:w="110"/>
            </w:tcMar>
          </w:tcPr>
          <w:p>
            <w:r>
              <w:rPr>
                <w:b/>
                <w:bCs/>
                <w:color w:val="B45309"/>
                <w:sz w:val="17"/>
                <w:szCs w:val="17"/>
              </w:rPr>
              <w:t xml:space="preserve">FREE / LIMITS</w:t>
            </w:r>
          </w:p>
        </w:tc>
        <w:tc>
          <w:tcPr>
            <w:tcW w:type="dxa" w:w="4060"/>
            <w:shd w:fill="F7F8FA" w:color="auto" w:val="clear"/>
            <w:tcMar>
              <w:top w:type="dxa" w:w="70"/>
              <w:left w:type="dxa" w:w="110"/>
              <w:bottom w:type="dxa" w:w="70"/>
              <w:right w:type="dxa" w:w="110"/>
            </w:tcMar>
          </w:tcPr>
          <w:p>
            <w:r>
              <w:rPr>
                <w:sz w:val="18"/>
                <w:szCs w:val="18"/>
              </w:rPr>
              <w:t xml:space="preserve">Rate limiting handled with backoff and retry</w:t>
            </w:r>
          </w:p>
        </w:tc>
      </w:tr>
      <w:tr>
        <w:tc>
          <w:tcPr>
            <w:tcW w:type="dxa" w:w="3200"/>
            <w:tcMar>
              <w:top w:type="dxa" w:w="70"/>
              <w:left w:type="dxa" w:w="110"/>
              <w:bottom w:type="dxa" w:w="70"/>
              <w:right w:type="dxa" w:w="110"/>
            </w:tcMar>
          </w:tcPr>
          <w:p>
            <w:r>
              <w:rPr>
                <w:sz w:val="18"/>
                <w:szCs w:val="18"/>
              </w:rPr>
              <w:t xml:space="preserve">Supabase storage</w:t>
            </w:r>
          </w:p>
        </w:tc>
        <w:tc>
          <w:tcPr>
            <w:tcW w:type="dxa" w:w="2100"/>
            <w:tcMar>
              <w:top w:type="dxa" w:w="70"/>
              <w:left w:type="dxa" w:w="110"/>
              <w:bottom w:type="dxa" w:w="70"/>
              <w:right w:type="dxa" w:w="110"/>
            </w:tcMar>
          </w:tcPr>
          <w:p>
            <w:r>
              <w:rPr>
                <w:b/>
                <w:bCs/>
                <w:color w:val="B45309"/>
                <w:sz w:val="17"/>
                <w:szCs w:val="17"/>
              </w:rPr>
              <w:t xml:space="preserve">FREE / LIMITS</w:t>
            </w:r>
          </w:p>
        </w:tc>
        <w:tc>
          <w:tcPr>
            <w:tcW w:type="dxa" w:w="4060"/>
            <w:tcMar>
              <w:top w:type="dxa" w:w="70"/>
              <w:left w:type="dxa" w:w="110"/>
              <w:bottom w:type="dxa" w:w="70"/>
              <w:right w:type="dxa" w:w="110"/>
            </w:tcMar>
          </w:tcPr>
          <w:p>
            <w:r>
              <w:rPr>
                <w:sz w:val="18"/>
                <w:szCs w:val="18"/>
              </w:rPr>
              <w:t xml:space="preserve">Unused while STORE_AUDIO is false</w:t>
            </w:r>
          </w:p>
        </w:tc>
      </w:tr>
      <w:tr>
        <w:tc>
          <w:tcPr>
            <w:tcW w:type="dxa" w:w="3200"/>
            <w:shd w:fill="F7F8FA" w:color="auto" w:val="clear"/>
            <w:tcMar>
              <w:top w:type="dxa" w:w="70"/>
              <w:left w:type="dxa" w:w="110"/>
              <w:bottom w:type="dxa" w:w="70"/>
              <w:right w:type="dxa" w:w="110"/>
            </w:tcMar>
          </w:tcPr>
          <w:p>
            <w:r>
              <w:rPr>
                <w:sz w:val="18"/>
                <w:szCs w:val="18"/>
              </w:rPr>
              <w:t xml:space="preserve">Browser SpeechRecognition</w:t>
            </w:r>
          </w:p>
        </w:tc>
        <w:tc>
          <w:tcPr>
            <w:tcW w:type="dxa" w:w="2100"/>
            <w:shd w:fill="F7F8FA" w:color="auto" w:val="clear"/>
            <w:tcMar>
              <w:top w:type="dxa" w:w="70"/>
              <w:left w:type="dxa" w:w="110"/>
              <w:bottom w:type="dxa" w:w="70"/>
              <w:right w:type="dxa" w:w="110"/>
            </w:tcMar>
          </w:tcPr>
          <w:p>
            <w:r>
              <w:rPr>
                <w:b/>
                <w:bCs/>
                <w:color w:val="166534"/>
                <w:sz w:val="17"/>
                <w:szCs w:val="17"/>
              </w:rPr>
              <w:t xml:space="preserve">FREE</w:t>
            </w:r>
          </w:p>
        </w:tc>
        <w:tc>
          <w:tcPr>
            <w:tcW w:type="dxa" w:w="4060"/>
            <w:shd w:fill="F7F8FA" w:color="auto" w:val="clear"/>
            <w:tcMar>
              <w:top w:type="dxa" w:w="70"/>
              <w:left w:type="dxa" w:w="110"/>
              <w:bottom w:type="dxa" w:w="70"/>
              <w:right w:type="dxa" w:w="110"/>
            </w:tcMar>
          </w:tcPr>
          <w:p>
            <w:r>
              <w:rPr>
                <w:sz w:val="18"/>
                <w:szCs w:val="18"/>
              </w:rPr>
              <w:t xml:space="preserve">On-device; quality varies by browser</w:t>
            </w:r>
          </w:p>
        </w:tc>
      </w:tr>
      <w:tr>
        <w:tc>
          <w:tcPr>
            <w:tcW w:type="dxa" w:w="3200"/>
            <w:tcMar>
              <w:top w:type="dxa" w:w="70"/>
              <w:left w:type="dxa" w:w="110"/>
              <w:bottom w:type="dxa" w:w="70"/>
              <w:right w:type="dxa" w:w="110"/>
            </w:tcMar>
          </w:tcPr>
          <w:p>
            <w:r>
              <w:rPr>
                <w:sz w:val="18"/>
                <w:szCs w:val="18"/>
              </w:rPr>
              <w:t xml:space="preserve">Email</w:t>
            </w:r>
          </w:p>
        </w:tc>
        <w:tc>
          <w:tcPr>
            <w:tcW w:type="dxa" w:w="2100"/>
            <w:tcMar>
              <w:top w:type="dxa" w:w="70"/>
              <w:left w:type="dxa" w:w="110"/>
              <w:bottom w:type="dxa" w:w="70"/>
              <w:right w:type="dxa" w:w="110"/>
            </w:tcMar>
          </w:tcPr>
          <w:p>
            <w:r>
              <w:rPr>
                <w:b/>
                <w:bCs/>
                <w:color w:val="166534"/>
                <w:sz w:val="17"/>
                <w:szCs w:val="17"/>
              </w:rPr>
              <w:t xml:space="preserve">FREE</w:t>
            </w:r>
          </w:p>
        </w:tc>
        <w:tc>
          <w:tcPr>
            <w:tcW w:type="dxa" w:w="4060"/>
            <w:tcMar>
              <w:top w:type="dxa" w:w="70"/>
              <w:left w:type="dxa" w:w="110"/>
              <w:bottom w:type="dxa" w:w="70"/>
              <w:right w:type="dxa" w:w="110"/>
            </w:tcMar>
          </w:tcPr>
          <w:p>
            <w:r>
              <w:rPr>
                <w:sz w:val="18"/>
                <w:szCs w:val="18"/>
              </w:rPr>
              <w:t xml:space="preserve">Mock; honestly reports "not configured"</w:t>
            </w:r>
          </w:p>
        </w:tc>
      </w:tr>
      <w:tr>
        <w:tc>
          <w:tcPr>
            <w:tcW w:type="dxa" w:w="3200"/>
            <w:shd w:fill="F7F8FA" w:color="auto" w:val="clear"/>
            <w:tcMar>
              <w:top w:type="dxa" w:w="70"/>
              <w:left w:type="dxa" w:w="110"/>
              <w:bottom w:type="dxa" w:w="70"/>
              <w:right w:type="dxa" w:w="110"/>
            </w:tcMar>
          </w:tcPr>
          <w:p>
            <w:r>
              <w:rPr>
                <w:sz w:val="18"/>
                <w:szCs w:val="18"/>
              </w:rPr>
              <w:t xml:space="preserve">Redis + background worker</w:t>
            </w:r>
          </w:p>
        </w:tc>
        <w:tc>
          <w:tcPr>
            <w:tcW w:type="dxa" w:w="2100"/>
            <w:shd w:fill="F7F8FA" w:color="auto" w:val="clear"/>
            <w:tcMar>
              <w:top w:type="dxa" w:w="70"/>
              <w:left w:type="dxa" w:w="110"/>
              <w:bottom w:type="dxa" w:w="70"/>
              <w:right w:type="dxa" w:w="110"/>
            </w:tcMar>
          </w:tcPr>
          <w:p>
            <w:r>
              <w:rPr>
                <w:b/>
                <w:bCs/>
                <w:color w:val="595959"/>
                <w:sz w:val="17"/>
                <w:szCs w:val="17"/>
              </w:rPr>
              <w:t xml:space="preserve">OPTIONAL PAID</w:t>
            </w:r>
          </w:p>
        </w:tc>
        <w:tc>
          <w:tcPr>
            <w:tcW w:type="dxa" w:w="4060"/>
            <w:shd w:fill="F7F8FA" w:color="auto" w:val="clear"/>
            <w:tcMar>
              <w:top w:type="dxa" w:w="70"/>
              <w:left w:type="dxa" w:w="110"/>
              <w:bottom w:type="dxa" w:w="70"/>
              <w:right w:type="dxa" w:w="110"/>
            </w:tcMar>
          </w:tcPr>
          <w:p>
            <w:r>
              <w:rPr>
                <w:sz w:val="18"/>
                <w:szCs w:val="18"/>
              </w:rPr>
              <w:t xml:space="preserve">Not referenced by the free path</w:t>
            </w:r>
          </w:p>
        </w:tc>
      </w:tr>
      <w:tr>
        <w:tc>
          <w:tcPr>
            <w:tcW w:type="dxa" w:w="3200"/>
            <w:tcMar>
              <w:top w:type="dxa" w:w="70"/>
              <w:left w:type="dxa" w:w="110"/>
              <w:bottom w:type="dxa" w:w="70"/>
              <w:right w:type="dxa" w:w="110"/>
            </w:tcMar>
          </w:tcPr>
          <w:p>
            <w:r>
              <w:rPr>
                <w:sz w:val="18"/>
                <w:szCs w:val="18"/>
              </w:rPr>
              <w:t xml:space="preserve">Azure / Google speech</w:t>
            </w:r>
          </w:p>
        </w:tc>
        <w:tc>
          <w:tcPr>
            <w:tcW w:type="dxa" w:w="2100"/>
            <w:tcMar>
              <w:top w:type="dxa" w:w="70"/>
              <w:left w:type="dxa" w:w="110"/>
              <w:bottom w:type="dxa" w:w="70"/>
              <w:right w:type="dxa" w:w="110"/>
            </w:tcMar>
          </w:tcPr>
          <w:p>
            <w:r>
              <w:rPr>
                <w:b/>
                <w:bCs/>
                <w:color w:val="595959"/>
                <w:sz w:val="17"/>
                <w:szCs w:val="17"/>
              </w:rPr>
              <w:t xml:space="preserve">OPTIONAL PAID</w:t>
            </w:r>
          </w:p>
        </w:tc>
        <w:tc>
          <w:tcPr>
            <w:tcW w:type="dxa" w:w="4060"/>
            <w:tcMar>
              <w:top w:type="dxa" w:w="70"/>
              <w:left w:type="dxa" w:w="110"/>
              <w:bottom w:type="dxa" w:w="70"/>
              <w:right w:type="dxa" w:w="110"/>
            </w:tcMar>
          </w:tcPr>
          <w:p>
            <w:r>
              <w:rPr>
                <w:sz w:val="18"/>
                <w:szCs w:val="18"/>
              </w:rPr>
              <w:t xml:space="preserve">Optional adapters for diarisation</w:t>
            </w:r>
          </w:p>
        </w:tc>
      </w:tr>
    </w:tbl>
    <w:p>
      <w:pPr>
        <w:spacing w:after="120"/>
      </w:pPr>
      <w:r>
        <w:rPr>
          <w:sz w:val="21"/>
          <w:szCs w:val="21"/>
        </w:rPr>
        <w:t xml:space="preserve"/>
      </w:r>
    </w:p>
    <w:p>
      <w:pPr>
        <w:shd w:fill="ECFDF3" w:color="auto" w:val="clear"/>
        <w:spacing w:after="140"/>
      </w:pPr>
      <w:r>
        <w:rPr>
          <w:color w:val="166534"/>
          <w:sz w:val="20"/>
          <w:szCs w:val="20"/>
        </w:rPr>
        <w:t xml:space="preserve">No OPTIONAL PAID component is required for the MVP to function.</w:t>
      </w:r>
    </w:p>
    <w:p>
      <w:pPr>
        <w:pStyle w:val="Heading1"/>
      </w:pPr>
      <w: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shd w:fill="1F3864" w:color="auto" w:val="clear"/>
            <w:tcMar>
              <w:top w:type="dxa" w:w="70"/>
              <w:left w:type="dxa" w:w="110"/>
              <w:bottom w:type="dxa" w:w="70"/>
              <w:right w:type="dxa" w:w="110"/>
            </w:tcMar>
          </w:tcPr>
          <w:p>
            <w:r>
              <w:rPr>
                <w:b/>
                <w:bCs/>
                <w:color w:val="FFFFFF"/>
                <w:sz w:val="18"/>
                <w:szCs w:val="18"/>
              </w:rPr>
              <w:t xml:space="preserve">Check</w:t>
            </w:r>
          </w:p>
        </w:tc>
        <w:tc>
          <w:tcPr>
            <w:tcW w:type="dxa" w:w="1700"/>
            <w:shd w:fill="1F3864" w:color="auto" w:val="clear"/>
            <w:tcMar>
              <w:top w:type="dxa" w:w="70"/>
              <w:left w:type="dxa" w:w="110"/>
              <w:bottom w:type="dxa" w:w="70"/>
              <w:right w:type="dxa" w:w="110"/>
            </w:tcMar>
          </w:tcPr>
          <w:p>
            <w:r>
              <w:rPr>
                <w:b/>
                <w:bCs/>
                <w:color w:val="FFFFFF"/>
                <w:sz w:val="18"/>
                <w:szCs w:val="18"/>
              </w:rPr>
              <w:t xml:space="preserve">Result</w:t>
            </w:r>
          </w:p>
        </w:tc>
        <w:tc>
          <w:tcPr>
            <w:tcW w:type="dxa" w:w="3460"/>
            <w:shd w:fill="1F3864" w:color="auto" w:val="clear"/>
            <w:tcMar>
              <w:top w:type="dxa" w:w="70"/>
              <w:left w:type="dxa" w:w="110"/>
              <w:bottom w:type="dxa" w:w="70"/>
              <w:right w:type="dxa" w:w="110"/>
            </w:tcMar>
          </w:tcPr>
          <w:p>
            <w:r>
              <w:rPr>
                <w:b/>
                <w:bCs/>
                <w:color w:val="FFFFFF"/>
                <w:sz w:val="18"/>
                <w:szCs w:val="18"/>
              </w:rPr>
              <w:t xml:space="preserve">Detail</w:t>
            </w:r>
          </w:p>
        </w:tc>
      </w:tr>
      <w:tr>
        <w:tc>
          <w:tcPr>
            <w:tcW w:type="dxa" w:w="4200"/>
            <w:tcMar>
              <w:top w:type="dxa" w:w="70"/>
              <w:left w:type="dxa" w:w="110"/>
              <w:bottom w:type="dxa" w:w="70"/>
              <w:right w:type="dxa" w:w="110"/>
            </w:tcMar>
          </w:tcPr>
          <w:p>
            <w:r>
              <w:rPr>
                <w:sz w:val="18"/>
                <w:szCs w:val="18"/>
              </w:rPr>
              <w:t xml:space="preserve">TypeScript compile (API + frontend)</w:t>
            </w:r>
          </w:p>
        </w:tc>
        <w:tc>
          <w:tcPr>
            <w:tcW w:type="dxa" w:w="1700"/>
            <w:tcMar>
              <w:top w:type="dxa" w:w="70"/>
              <w:left w:type="dxa" w:w="110"/>
              <w:bottom w:type="dxa" w:w="70"/>
              <w:right w:type="dxa" w:w="110"/>
            </w:tcMar>
          </w:tcPr>
          <w:p>
            <w:r>
              <w:rPr>
                <w:b/>
                <w:bCs/>
                <w:color w:val="166534"/>
                <w:sz w:val="17"/>
                <w:szCs w:val="17"/>
              </w:rPr>
              <w:t xml:space="preserve">PASS</w:t>
            </w:r>
          </w:p>
        </w:tc>
        <w:tc>
          <w:tcPr>
            <w:tcW w:type="dxa" w:w="3460"/>
            <w:tcMar>
              <w:top w:type="dxa" w:w="70"/>
              <w:left w:type="dxa" w:w="110"/>
              <w:bottom w:type="dxa" w:w="70"/>
              <w:right w:type="dxa" w:w="110"/>
            </w:tcMar>
          </w:tcPr>
          <w:p>
            <w:r>
              <w:rPr>
                <w:sz w:val="18"/>
                <w:szCs w:val="18"/>
              </w:rPr>
              <w:t xml:space="preserve">Clean, both sides</w:t>
            </w:r>
          </w:p>
        </w:tc>
      </w:tr>
      <w:tr>
        <w:tc>
          <w:tcPr>
            <w:tcW w:type="dxa" w:w="4200"/>
            <w:shd w:fill="F7F8FA" w:color="auto" w:val="clear"/>
            <w:tcMar>
              <w:top w:type="dxa" w:w="70"/>
              <w:left w:type="dxa" w:w="110"/>
              <w:bottom w:type="dxa" w:w="70"/>
              <w:right w:type="dxa" w:w="110"/>
            </w:tcMar>
          </w:tcPr>
          <w:p>
            <w:r>
              <w:rPr>
                <w:sz w:val="18"/>
                <w:szCs w:val="18"/>
              </w:rPr>
              <w:t xml:space="preserve">Test suite</w:t>
            </w:r>
          </w:p>
        </w:tc>
        <w:tc>
          <w:tcPr>
            <w:tcW w:type="dxa" w:w="1700"/>
            <w:shd w:fill="F7F8FA" w:color="auto" w:val="clear"/>
            <w:tcMar>
              <w:top w:type="dxa" w:w="70"/>
              <w:left w:type="dxa" w:w="110"/>
              <w:bottom w:type="dxa" w:w="70"/>
              <w:right w:type="dxa" w:w="110"/>
            </w:tcMar>
          </w:tcPr>
          <w:p>
            <w:r>
              <w:rPr>
                <w:b/>
                <w:bCs/>
                <w:color w:val="166534"/>
                <w:sz w:val="17"/>
                <w:szCs w:val="17"/>
              </w:rPr>
              <w:t xml:space="preserve">PASS</w:t>
            </w:r>
          </w:p>
        </w:tc>
        <w:tc>
          <w:tcPr>
            <w:tcW w:type="dxa" w:w="3460"/>
            <w:shd w:fill="F7F8FA" w:color="auto" w:val="clear"/>
            <w:tcMar>
              <w:top w:type="dxa" w:w="70"/>
              <w:left w:type="dxa" w:w="110"/>
              <w:bottom w:type="dxa" w:w="70"/>
              <w:right w:type="dxa" w:w="110"/>
            </w:tcMar>
          </w:tcPr>
          <w:p>
            <w:r>
              <w:rPr>
                <w:sz w:val="18"/>
                <w:szCs w:val="18"/>
              </w:rPr>
              <w:t xml:space="preserve">201 tests, 31 suites</w:t>
            </w:r>
          </w:p>
        </w:tc>
      </w:tr>
      <w:tr>
        <w:tc>
          <w:tcPr>
            <w:tcW w:type="dxa" w:w="4200"/>
            <w:tcMar>
              <w:top w:type="dxa" w:w="70"/>
              <w:left w:type="dxa" w:w="110"/>
              <w:bottom w:type="dxa" w:w="70"/>
              <w:right w:type="dxa" w:w="110"/>
            </w:tcMar>
          </w:tcPr>
          <w:p>
            <w:r>
              <w:rPr>
                <w:sz w:val="18"/>
                <w:szCs w:val="18"/>
              </w:rPr>
              <w:t xml:space="preserve">Frontend production build</w:t>
            </w:r>
          </w:p>
        </w:tc>
        <w:tc>
          <w:tcPr>
            <w:tcW w:type="dxa" w:w="1700"/>
            <w:tcMar>
              <w:top w:type="dxa" w:w="70"/>
              <w:left w:type="dxa" w:w="110"/>
              <w:bottom w:type="dxa" w:w="70"/>
              <w:right w:type="dxa" w:w="110"/>
            </w:tcMar>
          </w:tcPr>
          <w:p>
            <w:r>
              <w:rPr>
                <w:b/>
                <w:bCs/>
                <w:color w:val="166534"/>
                <w:sz w:val="17"/>
                <w:szCs w:val="17"/>
              </w:rPr>
              <w:t xml:space="preserve">PASS</w:t>
            </w:r>
          </w:p>
        </w:tc>
        <w:tc>
          <w:tcPr>
            <w:tcW w:type="dxa" w:w="3460"/>
            <w:tcMar>
              <w:top w:type="dxa" w:w="70"/>
              <w:left w:type="dxa" w:w="110"/>
              <w:bottom w:type="dxa" w:w="70"/>
              <w:right w:type="dxa" w:w="110"/>
            </w:tcMar>
          </w:tcPr>
          <w:p>
            <w:r>
              <w:rPr>
                <w:sz w:val="18"/>
                <w:szCs w:val="18"/>
              </w:rPr>
              <w:t xml:space="preserve">Vite + PWA, 178 KB precache</w:t>
            </w:r>
          </w:p>
        </w:tc>
      </w:tr>
      <w:tr>
        <w:tc>
          <w:tcPr>
            <w:tcW w:type="dxa" w:w="4200"/>
            <w:shd w:fill="F7F8FA" w:color="auto" w:val="clear"/>
            <w:tcMar>
              <w:top w:type="dxa" w:w="70"/>
              <w:left w:type="dxa" w:w="110"/>
              <w:bottom w:type="dxa" w:w="70"/>
              <w:right w:type="dxa" w:w="110"/>
            </w:tcMar>
          </w:tcPr>
          <w:p>
            <w:r>
              <w:rPr>
                <w:sz w:val="18"/>
                <w:szCs w:val="18"/>
              </w:rPr>
              <w:t xml:space="preserve">Evidence grounding evaluation</w:t>
            </w:r>
          </w:p>
        </w:tc>
        <w:tc>
          <w:tcPr>
            <w:tcW w:type="dxa" w:w="1700"/>
            <w:shd w:fill="F7F8FA" w:color="auto" w:val="clear"/>
            <w:tcMar>
              <w:top w:type="dxa" w:w="70"/>
              <w:left w:type="dxa" w:w="110"/>
              <w:bottom w:type="dxa" w:w="70"/>
              <w:right w:type="dxa" w:w="110"/>
            </w:tcMar>
          </w:tcPr>
          <w:p>
            <w:r>
              <w:rPr>
                <w:b/>
                <w:bCs/>
                <w:color w:val="166534"/>
                <w:sz w:val="17"/>
                <w:szCs w:val="17"/>
              </w:rPr>
              <w:t xml:space="preserve">PASS</w:t>
            </w:r>
          </w:p>
        </w:tc>
        <w:tc>
          <w:tcPr>
            <w:tcW w:type="dxa" w:w="3460"/>
            <w:shd w:fill="F7F8FA" w:color="auto" w:val="clear"/>
            <w:tcMar>
              <w:top w:type="dxa" w:w="70"/>
              <w:left w:type="dxa" w:w="110"/>
              <w:bottom w:type="dxa" w:w="70"/>
              <w:right w:type="dxa" w:w="110"/>
            </w:tcMar>
          </w:tcPr>
          <w:p>
            <w:r>
              <w:rPr>
                <w:sz w:val="18"/>
                <w:szCs w:val="18"/>
              </w:rPr>
              <w:t xml:space="preserve">81 claims, 100% precision, 0 unsupported</w:t>
            </w:r>
          </w:p>
        </w:tc>
      </w:tr>
      <w:tr>
        <w:tc>
          <w:tcPr>
            <w:tcW w:type="dxa" w:w="4200"/>
            <w:tcMar>
              <w:top w:type="dxa" w:w="70"/>
              <w:left w:type="dxa" w:w="110"/>
              <w:bottom w:type="dxa" w:w="70"/>
              <w:right w:type="dxa" w:w="110"/>
            </w:tcMar>
          </w:tcPr>
          <w:p>
            <w:r>
              <w:rPr>
                <w:sz w:val="18"/>
                <w:szCs w:val="18"/>
              </w:rPr>
              <w:t xml:space="preserve">Synthetic end-to-end assessment</w:t>
            </w:r>
          </w:p>
        </w:tc>
        <w:tc>
          <w:tcPr>
            <w:tcW w:type="dxa" w:w="1700"/>
            <w:tcMar>
              <w:top w:type="dxa" w:w="70"/>
              <w:left w:type="dxa" w:w="110"/>
              <w:bottom w:type="dxa" w:w="70"/>
              <w:right w:type="dxa" w:w="110"/>
            </w:tcMar>
          </w:tcPr>
          <w:p>
            <w:r>
              <w:rPr>
                <w:b/>
                <w:bCs/>
                <w:color w:val="166534"/>
                <w:sz w:val="17"/>
                <w:szCs w:val="17"/>
              </w:rPr>
              <w:t xml:space="preserve">PASS</w:t>
            </w:r>
          </w:p>
        </w:tc>
        <w:tc>
          <w:tcPr>
            <w:tcW w:type="dxa" w:w="3460"/>
            <w:tcMar>
              <w:top w:type="dxa" w:w="70"/>
              <w:left w:type="dxa" w:w="110"/>
              <w:bottom w:type="dxa" w:w="70"/>
              <w:right w:type="dxa" w:w="110"/>
            </w:tcMar>
          </w:tcPr>
          <w:p>
            <w:r>
              <w:rPr>
                <w:sz w:val="18"/>
                <w:szCs w:val="18"/>
              </w:rPr>
              <w:t xml:space="preserve">21 clinical assertions</w:t>
            </w:r>
          </w:p>
        </w:tc>
      </w:tr>
      <w:tr>
        <w:tc>
          <w:tcPr>
            <w:tcW w:type="dxa" w:w="4200"/>
            <w:shd w:fill="F7F8FA" w:color="auto" w:val="clear"/>
            <w:tcMar>
              <w:top w:type="dxa" w:w="70"/>
              <w:left w:type="dxa" w:w="110"/>
              <w:bottom w:type="dxa" w:w="70"/>
              <w:right w:type="dxa" w:w="110"/>
            </w:tcMar>
          </w:tcPr>
          <w:p>
            <w:r>
              <w:rPr>
                <w:sz w:val="18"/>
                <w:szCs w:val="18"/>
              </w:rPr>
              <w:t xml:space="preserve">Live Gemini call</w:t>
            </w:r>
          </w:p>
        </w:tc>
        <w:tc>
          <w:tcPr>
            <w:tcW w:type="dxa" w:w="1700"/>
            <w:shd w:fill="F7F8FA" w:color="auto" w:val="clear"/>
            <w:tcMar>
              <w:top w:type="dxa" w:w="70"/>
              <w:left w:type="dxa" w:w="110"/>
              <w:bottom w:type="dxa" w:w="70"/>
              <w:right w:type="dxa" w:w="110"/>
            </w:tcMar>
          </w:tcPr>
          <w:p>
            <w:r>
              <w:rPr>
                <w:b/>
                <w:bCs/>
                <w:color w:val="B02418"/>
                <w:sz w:val="17"/>
                <w:szCs w:val="17"/>
              </w:rPr>
              <w:t xml:space="preserve">NOT RUN</w:t>
            </w:r>
          </w:p>
        </w:tc>
        <w:tc>
          <w:tcPr>
            <w:tcW w:type="dxa" w:w="3460"/>
            <w:shd w:fill="F7F8FA" w:color="auto" w:val="clear"/>
            <w:tcMar>
              <w:top w:type="dxa" w:w="70"/>
              <w:left w:type="dxa" w:w="110"/>
              <w:bottom w:type="dxa" w:w="70"/>
              <w:right w:type="dxa" w:w="110"/>
            </w:tcMar>
          </w:tcPr>
          <w:p>
            <w:r>
              <w:rPr>
                <w:sz w:val="18"/>
                <w:szCs w:val="18"/>
              </w:rPr>
              <w:t xml:space="preserve">No network to the API from this environment</w:t>
            </w:r>
          </w:p>
        </w:tc>
      </w:tr>
      <w:tr>
        <w:tc>
          <w:tcPr>
            <w:tcW w:type="dxa" w:w="4200"/>
            <w:tcMar>
              <w:top w:type="dxa" w:w="70"/>
              <w:left w:type="dxa" w:w="110"/>
              <w:bottom w:type="dxa" w:w="70"/>
              <w:right w:type="dxa" w:w="110"/>
            </w:tcMar>
          </w:tcPr>
          <w:p>
            <w:r>
              <w:rPr>
                <w:sz w:val="18"/>
                <w:szCs w:val="18"/>
              </w:rPr>
              <w:t xml:space="preserve">Live Supabase bucket behaviour</w:t>
            </w:r>
          </w:p>
        </w:tc>
        <w:tc>
          <w:tcPr>
            <w:tcW w:type="dxa" w:w="1700"/>
            <w:tcMar>
              <w:top w:type="dxa" w:w="70"/>
              <w:left w:type="dxa" w:w="110"/>
              <w:bottom w:type="dxa" w:w="70"/>
              <w:right w:type="dxa" w:w="110"/>
            </w:tcMar>
          </w:tcPr>
          <w:p>
            <w:r>
              <w:rPr>
                <w:b/>
                <w:bCs/>
                <w:color w:val="B02418"/>
                <w:sz w:val="17"/>
                <w:szCs w:val="17"/>
              </w:rPr>
              <w:t xml:space="preserve">NOT RUN</w:t>
            </w:r>
          </w:p>
        </w:tc>
        <w:tc>
          <w:tcPr>
            <w:tcW w:type="dxa" w:w="3460"/>
            <w:tcMar>
              <w:top w:type="dxa" w:w="70"/>
              <w:left w:type="dxa" w:w="110"/>
              <w:bottom w:type="dxa" w:w="70"/>
              <w:right w:type="dxa" w:w="110"/>
            </w:tcMar>
          </w:tcPr>
          <w:p>
            <w:r>
              <w:rPr>
                <w:sz w:val="18"/>
                <w:szCs w:val="18"/>
              </w:rPr>
              <w:t xml:space="preserve">Needs a real project</w:t>
            </w:r>
          </w:p>
        </w:tc>
      </w:tr>
      <w:tr>
        <w:tc>
          <w:tcPr>
            <w:tcW w:type="dxa" w:w="4200"/>
            <w:shd w:fill="F7F8FA" w:color="auto" w:val="clear"/>
            <w:tcMar>
              <w:top w:type="dxa" w:w="70"/>
              <w:left w:type="dxa" w:w="110"/>
              <w:bottom w:type="dxa" w:w="70"/>
              <w:right w:type="dxa" w:w="110"/>
            </w:tcMar>
          </w:tcPr>
          <w:p>
            <w:r>
              <w:rPr>
                <w:sz w:val="18"/>
                <w:szCs w:val="18"/>
              </w:rPr>
              <w:t xml:space="preserve">Real-device mobile testing</w:t>
            </w:r>
          </w:p>
        </w:tc>
        <w:tc>
          <w:tcPr>
            <w:tcW w:type="dxa" w:w="1700"/>
            <w:shd w:fill="F7F8FA" w:color="auto" w:val="clear"/>
            <w:tcMar>
              <w:top w:type="dxa" w:w="70"/>
              <w:left w:type="dxa" w:w="110"/>
              <w:bottom w:type="dxa" w:w="70"/>
              <w:right w:type="dxa" w:w="110"/>
            </w:tcMar>
          </w:tcPr>
          <w:p>
            <w:r>
              <w:rPr>
                <w:b/>
                <w:bCs/>
                <w:color w:val="B02418"/>
                <w:sz w:val="17"/>
                <w:szCs w:val="17"/>
              </w:rPr>
              <w:t xml:space="preserve">NOT RUN</w:t>
            </w:r>
          </w:p>
        </w:tc>
        <w:tc>
          <w:tcPr>
            <w:tcW w:type="dxa" w:w="3460"/>
            <w:shd w:fill="F7F8FA" w:color="auto" w:val="clear"/>
            <w:tcMar>
              <w:top w:type="dxa" w:w="70"/>
              <w:left w:type="dxa" w:w="110"/>
              <w:bottom w:type="dxa" w:w="70"/>
              <w:right w:type="dxa" w:w="110"/>
            </w:tcMar>
          </w:tcPr>
          <w:p>
            <w:r>
              <w:rPr>
                <w:sz w:val="18"/>
                <w:szCs w:val="18"/>
              </w:rPr>
              <w:t xml:space="preserve">Android Chrome, iOS Safari</w:t>
            </w:r>
          </w:p>
        </w:tc>
      </w:tr>
      <w:tr>
        <w:tc>
          <w:tcPr>
            <w:tcW w:type="dxa" w:w="4200"/>
            <w:tcMar>
              <w:top w:type="dxa" w:w="70"/>
              <w:left w:type="dxa" w:w="110"/>
              <w:bottom w:type="dxa" w:w="70"/>
              <w:right w:type="dxa" w:w="110"/>
            </w:tcMar>
          </w:tcPr>
          <w:p>
            <w:r>
              <w:rPr>
                <w:sz w:val="18"/>
                <w:szCs w:val="18"/>
              </w:rPr>
              <w:t xml:space="preserve">Azure / Google speech adapters</w:t>
            </w:r>
          </w:p>
        </w:tc>
        <w:tc>
          <w:tcPr>
            <w:tcW w:type="dxa" w:w="1700"/>
            <w:tcMar>
              <w:top w:type="dxa" w:w="70"/>
              <w:left w:type="dxa" w:w="110"/>
              <w:bottom w:type="dxa" w:w="70"/>
              <w:right w:type="dxa" w:w="110"/>
            </w:tcMar>
          </w:tcPr>
          <w:p>
            <w:r>
              <w:rPr>
                <w:b/>
                <w:bCs/>
                <w:color w:val="B02418"/>
                <w:sz w:val="17"/>
                <w:szCs w:val="17"/>
              </w:rPr>
              <w:t xml:space="preserve">NOT RUN</w:t>
            </w:r>
          </w:p>
        </w:tc>
        <w:tc>
          <w:tcPr>
            <w:tcW w:type="dxa" w:w="3460"/>
            <w:tcMar>
              <w:top w:type="dxa" w:w="70"/>
              <w:left w:type="dxa" w:w="110"/>
              <w:bottom w:type="dxa" w:w="70"/>
              <w:right w:type="dxa" w:w="110"/>
            </w:tcMar>
          </w:tcPr>
          <w:p>
            <w:r>
              <w:rPr>
                <w:sz w:val="18"/>
                <w:szCs w:val="18"/>
              </w:rPr>
              <w:t xml:space="preserve">Written to documented REST contracts, never executed</w:t>
            </w:r>
          </w:p>
        </w:tc>
      </w:tr>
    </w:tbl>
    <w:p>
      <w:pPr>
        <w:spacing w:after="120"/>
      </w:pPr>
      <w:r>
        <w:rPr>
          <w:sz w:val="21"/>
          <w:szCs w:val="21"/>
        </w:rPr>
        <w:t xml:space="preserve"/>
      </w:r>
    </w:p>
    <w:p>
      <w:pPr>
        <w:spacing w:after="120"/>
      </w:pPr>
      <w:r>
        <w:rPr>
          <w:sz w:val="21"/>
          <w:szCs w:val="21"/>
        </w:rPr>
        <w:t xml:space="preserve">NOT RUN means not run. None of those four should be read as working until someone has watched them work.</w:t>
      </w:r>
    </w:p>
    <w:p>
      <w:pPr>
        <w:pStyle w:val="Heading2"/>
      </w:pPr>
      <w:r>
        <w:t xml:space="preserve">The synthetic assessment</w:t>
      </w:r>
    </w:p>
    <w:p>
      <w:pPr>
        <w:spacing w:after="120"/>
      </w:pPr>
      <w:r>
        <w:rPr>
          <w:sz w:val="21"/>
          <w:szCs w:val="21"/>
        </w:rPr>
        <w:t xml:space="preserve">A full wheelchair consultation was written as unlabelled flowing text — exactly what the device pipeline produces — and run through the real code path. It verifies that the contradiction survives, that the reported-versus-observed distinction holds, that measurements keep their units and context, that laterality is retained, that the fixed-versus-flexible distinction driving the seating prescription is recorded, that an explicitly unassessed item never becomes a normal finding, and that a deliberately fabricated pressure ulcer is removed before the clinician ever sees it.</w:t>
      </w:r>
    </w:p>
    <w:p>
      <w:r>
        <w:br w:type="page"/>
      </w:r>
    </w:p>
    <w:p>
      <w:pPr>
        <w:pStyle w:val="Heading1"/>
      </w:pPr>
      <w:r>
        <w:t xml:space="preserve">The merge</w:t>
      </w:r>
    </w:p>
    <w:p>
      <w:pPr>
        <w:spacing w:after="120"/>
      </w:pPr>
      <w:r>
        <w:rPr>
          <w:sz w:val="21"/>
          <w:szCs w:val="21"/>
        </w:rPr>
        <w:t xml:space="preserve">A second session had been working on the same repository in parallel, implementing the same brief and committing as it went. Its work was fully committed, so nothing was at risk, and it has been merged rather than overwritten.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1F3864" w:color="auto" w:val="clear"/>
            <w:tcMar>
              <w:top w:type="dxa" w:w="70"/>
              <w:left w:type="dxa" w:w="110"/>
              <w:bottom w:type="dxa" w:w="70"/>
              <w:right w:type="dxa" w:w="110"/>
            </w:tcMar>
          </w:tcPr>
          <w:p>
            <w:r>
              <w:rPr>
                <w:b/>
                <w:bCs/>
                <w:color w:val="FFFFFF"/>
                <w:sz w:val="18"/>
                <w:szCs w:val="18"/>
              </w:rPr>
              <w:t xml:space="preserve">Kept from the parallel session</w:t>
            </w:r>
          </w:p>
        </w:tc>
        <w:tc>
          <w:tcPr>
            <w:tcW w:type="dxa" w:w="5360"/>
            <w:shd w:fill="1F3864" w:color="auto" w:val="clear"/>
            <w:tcMar>
              <w:top w:type="dxa" w:w="70"/>
              <w:left w:type="dxa" w:w="110"/>
              <w:bottom w:type="dxa" w:w="70"/>
              <w:right w:type="dxa" w:w="110"/>
            </w:tcMar>
          </w:tcPr>
          <w:p>
            <w:r>
              <w:rPr>
                <w:b/>
                <w:bCs/>
                <w:color w:val="FFFFFF"/>
                <w:sz w:val="18"/>
                <w:szCs w:val="18"/>
              </w:rPr>
              <w:t xml:space="preserve">Why</w:t>
            </w:r>
          </w:p>
        </w:tc>
      </w:tr>
      <w:tr>
        <w:tc>
          <w:tcPr>
            <w:tcW w:type="dxa" w:w="4000"/>
            <w:tcMar>
              <w:top w:type="dxa" w:w="70"/>
              <w:left w:type="dxa" w:w="110"/>
              <w:bottom w:type="dxa" w:w="70"/>
              <w:right w:type="dxa" w:w="110"/>
            </w:tcMar>
          </w:tcPr>
          <w:p>
            <w:r>
              <w:rPr>
                <w:sz w:val="18"/>
                <w:szCs w:val="18"/>
              </w:rPr>
              <w:t xml:space="preserve">vercel.json — removal of an invalid "comment" property</w:t>
            </w:r>
          </w:p>
        </w:tc>
        <w:tc>
          <w:tcPr>
            <w:tcW w:type="dxa" w:w="5360"/>
            <w:tcMar>
              <w:top w:type="dxa" w:w="70"/>
              <w:left w:type="dxa" w:w="110"/>
              <w:bottom w:type="dxa" w:w="70"/>
              <w:right w:type="dxa" w:w="110"/>
            </w:tcMar>
          </w:tcPr>
          <w:p>
            <w:r>
              <w:rPr>
                <w:sz w:val="18"/>
                <w:szCs w:val="18"/>
              </w:rPr>
              <w:t xml:space="preserve">A real bug I introduced. Vercel rejects the whole configuration for it, so the deploy would have failed.</w:t>
            </w:r>
          </w:p>
        </w:tc>
      </w:tr>
      <w:tr>
        <w:tc>
          <w:tcPr>
            <w:tcW w:type="dxa" w:w="4000"/>
            <w:shd w:fill="F7F8FA" w:color="auto" w:val="clear"/>
            <w:tcMar>
              <w:top w:type="dxa" w:w="70"/>
              <w:left w:type="dxa" w:w="110"/>
              <w:bottom w:type="dxa" w:w="70"/>
              <w:right w:type="dxa" w:w="110"/>
            </w:tcMar>
          </w:tcPr>
          <w:p>
            <w:r>
              <w:rPr>
                <w:sz w:val="18"/>
                <w:szCs w:val="18"/>
              </w:rPr>
              <w:t xml:space="preserve">Stale-processing recovery on the meetings list</w:t>
            </w:r>
          </w:p>
        </w:tc>
        <w:tc>
          <w:tcPr>
            <w:tcW w:type="dxa" w:w="5360"/>
            <w:shd w:fill="F7F8FA" w:color="auto" w:val="clear"/>
            <w:tcMar>
              <w:top w:type="dxa" w:w="70"/>
              <w:left w:type="dxa" w:w="110"/>
              <w:bottom w:type="dxa" w:w="70"/>
              <w:right w:type="dxa" w:w="110"/>
            </w:tcMar>
          </w:tcPr>
          <w:p>
            <w:r>
              <w:rPr>
                <w:sz w:val="18"/>
                <w:szCs w:val="18"/>
              </w:rPr>
              <w:t xml:space="preserve">Genuinely useful and absent from my version. A meeting stuck mid-generation now surfaces a Retry action instead of spinning forever.</w:t>
            </w:r>
          </w:p>
        </w:tc>
      </w:tr>
      <w:tr>
        <w:tc>
          <w:tcPr>
            <w:tcW w:type="dxa" w:w="4000"/>
            <w:tcMar>
              <w:top w:type="dxa" w:w="70"/>
              <w:left w:type="dxa" w:w="110"/>
              <w:bottom w:type="dxa" w:w="70"/>
              <w:right w:type="dxa" w:w="110"/>
            </w:tcMar>
          </w:tcPr>
          <w:p>
            <w:r>
              <w:rPr>
                <w:sz w:val="18"/>
                <w:szCs w:val="18"/>
              </w:rPr>
              <w:t xml:space="preserve">The /:meetingId/retry route spelling</w:t>
            </w:r>
          </w:p>
        </w:tc>
        <w:tc>
          <w:tcPr>
            <w:tcW w:type="dxa" w:w="5360"/>
            <w:tcMar>
              <w:top w:type="dxa" w:w="70"/>
              <w:left w:type="dxa" w:w="110"/>
              <w:bottom w:type="dxa" w:w="70"/>
              <w:right w:type="dxa" w:w="110"/>
            </w:tcMar>
          </w:tcPr>
          <w:p>
            <w:r>
              <w:rPr>
                <w:sz w:val="18"/>
                <w:szCs w:val="18"/>
              </w:rPr>
              <w:t xml:space="preserve">Kept as an alias so a frontend built against either spelling works. Both resolve to the same asynchronous, job-backed handler.</w:t>
            </w:r>
          </w:p>
        </w:tc>
      </w:tr>
      <w:tr>
        <w:tc>
          <w:tcPr>
            <w:tcW w:type="dxa" w:w="4000"/>
            <w:shd w:fill="F7F8FA" w:color="auto" w:val="clear"/>
            <w:tcMar>
              <w:top w:type="dxa" w:w="70"/>
              <w:left w:type="dxa" w:w="110"/>
              <w:bottom w:type="dxa" w:w="70"/>
              <w:right w:type="dxa" w:w="110"/>
            </w:tcMar>
          </w:tcPr>
          <w:p>
            <w:r>
              <w:rPr>
                <w:sz w:val="18"/>
                <w:szCs w:val="18"/>
              </w:rPr>
              <w:t xml:space="preserve">The clinical safety synthetic test</w:t>
            </w:r>
          </w:p>
        </w:tc>
        <w:tc>
          <w:tcPr>
            <w:tcW w:type="dxa" w:w="5360"/>
            <w:shd w:fill="F7F8FA" w:color="auto" w:val="clear"/>
            <w:tcMar>
              <w:top w:type="dxa" w:w="70"/>
              <w:left w:type="dxa" w:w="110"/>
              <w:bottom w:type="dxa" w:w="70"/>
              <w:right w:type="dxa" w:w="110"/>
            </w:tcMar>
          </w:tcPr>
          <w:p>
            <w:r>
              <w:rPr>
                <w:sz w:val="18"/>
                <w:szCs w:val="18"/>
              </w:rPr>
              <w:t xml:space="preserve">An independent A–L safety check. Verified to pass against the rebuilt pipeline.</w:t>
            </w:r>
          </w:p>
        </w:tc>
      </w:tr>
    </w:tbl>
    <w:p>
      <w:pPr>
        <w:spacing w:after="120"/>
      </w:pPr>
      <w:r>
        <w:rPr>
          <w:sz w:val="21"/>
          <w:szCs w:val="21"/>
        </w:rPr>
        <w:t xml:space="preserve"/>
      </w:r>
    </w:p>
    <w:p>
      <w:pPr>
        <w:spacing w:after="120"/>
      </w:pPr>
      <w:r>
        <w:rPr>
          <w:sz w:val="21"/>
          <w:szCs w:val="21"/>
        </w:rPr>
        <w:t xml:space="preserve">Committed as ab292ca on top of their history. Working tree clean. Their commits are untouched and the full history is intact.</w:t>
      </w:r>
    </w:p>
    <w:p>
      <w:pPr>
        <w:shd w:fill="FEF3E2" w:color="auto" w:val="clear"/>
        <w:spacing w:after="140"/>
      </w:pPr>
      <w:r>
        <w:rPr>
          <w:color w:val="7A3E00"/>
          <w:sz w:val="20"/>
          <w:szCs w:val="20"/>
        </w:rPr>
        <w:t xml:space="preserve">A stale .git/index.lock was blocking every commit in the repository — including yours. It has been cleared.</w:t>
      </w:r>
    </w:p>
    <w:p>
      <w:pPr>
        <w:pStyle w:val="Heading1"/>
      </w:pPr>
      <w:r>
        <w:t xml:space="preserve">Deploying</w:t>
      </w:r>
    </w:p>
    <w:p>
      <w:pPr>
        <w:spacing w:after="120"/>
      </w:pPr>
      <w:r>
        <w:rPr>
          <w:sz w:val="21"/>
          <w:szCs w:val="21"/>
        </w:rPr>
        <w:t xml:space="preserve">Three things will stop the deploy if missed.</w:t>
      </w:r>
    </w:p>
    <w:p>
      <w:pPr>
        <w:spacing w:after="120"/>
      </w:pPr>
      <w:r>
        <w:rPr>
          <w:b/>
          <w:bCs/>
          <w:color w:val="1F3864"/>
          <w:sz w:val="21"/>
          <w:szCs w:val="21"/>
        </w:rPr>
        <w:t xml:space="preserve">1.  </w:t>
      </w:r>
      <w:r>
        <w:rPr>
          <w:sz w:val="21"/>
          <w:szCs w:val="21"/>
        </w:rPr>
        <w:t xml:space="preserve">The API refuses to start in production without JWT_SECRET (32+ characters) and GEMINI_API_KEY. That is deliberate — the old build ran on a published default secret. A crash loop on first deploy is almost certainly this; the log names the variable.</w:t>
      </w:r>
    </w:p>
    <w:p>
      <w:pPr>
        <w:spacing w:after="120"/>
      </w:pPr>
      <w:r>
        <w:rPr>
          <w:b/>
          <w:bCs/>
          <w:color w:val="1F3864"/>
          <w:sz w:val="21"/>
          <w:szCs w:val="21"/>
        </w:rPr>
        <w:t xml:space="preserve">2.  </w:t>
      </w:r>
      <w:r>
        <w:rPr>
          <w:sz w:val="21"/>
          <w:szCs w:val="21"/>
        </w:rPr>
        <w:t xml:space="preserve">Leave GEMINI_MODEL unset. Pinning it is what killed the last deployment. The server asks the API which models the key can serve.</w:t>
      </w:r>
    </w:p>
    <w:p>
      <w:pPr>
        <w:spacing w:after="120"/>
      </w:pPr>
      <w:r>
        <w:rPr>
          <w:b/>
          <w:bCs/>
          <w:color w:val="1F3864"/>
          <w:sz w:val="21"/>
          <w:szCs w:val="21"/>
        </w:rPr>
        <w:t xml:space="preserve">3.  </w:t>
      </w:r>
      <w:r>
        <w:rPr>
          <w:sz w:val="21"/>
          <w:szCs w:val="21"/>
        </w:rPr>
        <w:t xml:space="preserve">Replace REPLACE-WITH-YOUR-RENDER-API in vercel.json, in both rewrite rules. Those rewrites are what avoid CORS entirely.</w:t>
      </w:r>
    </w:p>
    <w:p>
      <w:pPr>
        <w:spacing w:after="120"/>
      </w:pPr>
      <w:r>
        <w:rPr>
          <w:sz w:val="21"/>
          <w:szCs w:val="21"/>
        </w:rPr>
        <w:t xml:space="preserve"/>
      </w:r>
    </w:p>
    <w:p>
      <w:pPr>
        <w:spacing w:after="120"/>
      </w:pPr>
      <w:r>
        <w:rPr>
          <w:sz w:val="21"/>
          <w:szCs w:val="21"/>
        </w:rPr>
        <w:t xml:space="preserve">Then, in order:</w:t>
      </w:r>
    </w:p>
    <w:p>
      <w:pPr>
        <w:shd w:fill="F2F4F8" w:color="auto" w:val="clear"/>
        <w:spacing w:after="60"/>
      </w:pPr>
      <w:r>
        <w:rPr>
          <w:rFonts w:ascii="Consolas" w:cs="Consolas" w:eastAsia="Consolas" w:hAnsi="Consolas"/>
          <w:sz w:val="18"/>
          <w:szCs w:val="18"/>
        </w:rPr>
        <w:t xml:space="preserve">Render → New → Blueprint → select repo   (one web service, one free Postgres)</w:t>
      </w:r>
    </w:p>
    <w:p>
      <w:pPr>
        <w:shd w:fill="F2F4F8" w:color="auto" w:val="clear"/>
        <w:spacing w:after="60"/>
      </w:pPr>
      <w:r>
        <w:rPr>
          <w:rFonts w:ascii="Consolas" w:cs="Consolas" w:eastAsia="Consolas" w:hAnsi="Consolas"/>
          <w:sz w:val="18"/>
          <w:szCs w:val="18"/>
        </w:rPr>
        <w:t xml:space="preserve">Set GEMINI_API_KEY, APP_BASE_URL, CORS_ORIGIN</w:t>
      </w:r>
    </w:p>
    <w:p>
      <w:pPr>
        <w:shd w:fill="F2F4F8" w:color="auto" w:val="clear"/>
        <w:spacing w:after="60"/>
      </w:pPr>
      <w:r>
        <w:rPr>
          <w:rFonts w:ascii="Consolas" w:cs="Consolas" w:eastAsia="Consolas" w:hAnsi="Consolas"/>
          <w:sz w:val="18"/>
          <w:szCs w:val="18"/>
        </w:rPr>
        <w:t xml:space="preserve">Render shell:  npx prisma db push &amp;&amp; npx prisma db seed</w:t>
      </w:r>
    </w:p>
    <w:p>
      <w:pPr>
        <w:shd w:fill="F2F4F8" w:color="auto" w:val="clear"/>
        <w:spacing w:after="60"/>
      </w:pPr>
      <w:r>
        <w:rPr>
          <w:rFonts w:ascii="Consolas" w:cs="Consolas" w:eastAsia="Consolas" w:hAnsi="Consolas"/>
          <w:sz w:val="18"/>
          <w:szCs w:val="18"/>
        </w:rPr>
        <w:t xml:space="preserve">Check /health — confirms speech mode, processing mode and the resolved model</w:t>
      </w:r>
    </w:p>
    <w:p>
      <w:pPr>
        <w:shd w:fill="F2F4F8" w:color="auto" w:val="clear"/>
        <w:spacing w:after="60"/>
      </w:pPr>
      <w:r>
        <w:rPr>
          <w:rFonts w:ascii="Consolas" w:cs="Consolas" w:eastAsia="Consolas" w:hAnsi="Consolas"/>
          <w:sz w:val="18"/>
          <w:szCs w:val="18"/>
        </w:rPr>
        <w:t xml:space="preserve">Vercel → import repo → deploy</w:t>
      </w:r>
    </w:p>
    <w:p>
      <w:pPr>
        <w:spacing w:after="120"/>
      </w:pPr>
      <w:r>
        <w:rPr>
          <w:sz w:val="21"/>
          <w:szCs w:val="21"/>
        </w:rPr>
        <w:t xml:space="preserve"/>
      </w:r>
    </w:p>
    <w:p>
      <w:pPr>
        <w:spacing w:after="120"/>
      </w:pPr>
      <w:r>
        <w:rPr>
          <w:sz w:val="21"/>
          <w:szCs w:val="21"/>
        </w:rPr>
        <w:t xml:space="preserve">Delete the stale frontend/vercel.json — it still points at the old API URL and only causes confusion; the root one is what Vercel uses.</w:t>
      </w:r>
    </w:p>
    <w:p>
      <w:pPr>
        <w:pStyle w:val="Heading2"/>
      </w:pPr>
      <w:r>
        <w:t xml:space="preserve">Acceptance test from your phone</w:t>
      </w:r>
    </w:p>
    <w:p>
      <w:pPr>
        <w:spacing w:after="120"/>
      </w:pPr>
      <w:r>
        <w:rPr>
          <w:sz w:val="21"/>
          <w:szCs w:val="21"/>
        </w:rPr>
        <w:t xml:space="preserve">Sign in, create an assessment with a client reference, confirm consent, press Start assessment. Talk naturally for two minutes, including "the seat width is forty four centimetres" and a left or right finding. Watch the transcript appear as flowing text with no speaker labels. Press End assessment, watch the stage messages, then review the draft: editable sections and a review-flags banner. Edit a section, delete a line, then Approve and finalise. Download the PDF and the DOCX.</w:t>
      </w:r>
    </w:p>
    <w:p>
      <w:pPr>
        <w:pStyle w:val="Heading1"/>
      </w:pPr>
      <w:r>
        <w:t xml:space="preserve">Remaining limitations</w:t>
      </w:r>
    </w:p>
    <w:p>
      <w:pPr>
        <w:spacing w:after="120"/>
      </w:pPr>
      <w:r>
        <w:rPr>
          <w:b/>
          <w:bCs/>
          <w:color w:val="1F3864"/>
          <w:sz w:val="21"/>
          <w:szCs w:val="21"/>
        </w:rPr>
        <w:t xml:space="preserve">Free Render sleeps.  </w:t>
      </w:r>
      <w:r>
        <w:rPr>
          <w:sz w:val="21"/>
          <w:szCs w:val="21"/>
        </w:rPr>
        <w:t xml:space="preserve">A job running when the service sleeps will stall. Job state is persisted and the interface offers Retry from the saved transcript, so nothing is lost — but this is the honest weak point of zero-cost hosting. PROCESSING_MODE=queue plus a worker is the fix when it is worth paying for.</w:t>
      </w:r>
    </w:p>
    <w:p>
      <w:pPr>
        <w:spacing w:after="120"/>
      </w:pPr>
      <w:r>
        <w:rPr>
          <w:b/>
          <w:bCs/>
          <w:color w:val="1F3864"/>
          <w:sz w:val="21"/>
          <w:szCs w:val="21"/>
        </w:rPr>
        <w:t xml:space="preserve">Browser speech sends audio to Google.  </w:t>
      </w:r>
      <w:r>
        <w:rPr>
          <w:sz w:val="21"/>
          <w:szCs w:val="21"/>
        </w:rPr>
        <w:t xml:space="preserve">Web Speech quality varies by browser and the audio leaves the device for recognition. Worth confirming against your information-governance position before clinical use.</w:t>
      </w:r>
    </w:p>
    <w:p>
      <w:pPr>
        <w:spacing w:after="120"/>
      </w:pPr>
      <w:r>
        <w:rPr>
          <w:b/>
          <w:bCs/>
          <w:color w:val="1F3864"/>
          <w:sz w:val="21"/>
          <w:szCs w:val="21"/>
        </w:rPr>
        <w:t xml:space="preserve">Local Whisper was evaluated and not implemented.  </w:t>
      </w:r>
      <w:r>
        <w:rPr>
          <w:sz w:val="21"/>
          <w:szCs w:val="21"/>
        </w:rPr>
        <w:t xml:space="preserve">A usable model is 40–75 MB, needs WebGPU for acceptable speed, and thermally throttles on mid-range Android across a 60-minute consultation. The provider interface exists. I will not claim it works until it is measured on real devices.</w:t>
      </w:r>
    </w:p>
    <w:p>
      <w:pPr>
        <w:spacing w:after="120"/>
      </w:pPr>
      <w:r>
        <w:rPr>
          <w:b/>
          <w:bCs/>
          <w:color w:val="1F3864"/>
          <w:sz w:val="21"/>
          <w:szCs w:val="21"/>
        </w:rPr>
        <w:t xml:space="preserve">Speaker attribution is absent by design.  </w:t>
      </w:r>
      <w:r>
        <w:rPr>
          <w:sz w:val="21"/>
          <w:szCs w:val="21"/>
        </w:rPr>
        <w:t xml:space="preserve">Not a gap. The system does not know who spoke and says so, which is more clinically trustworthy than a confident wrong label.</w:t>
      </w:r>
    </w:p>
    <w:p>
      <w:pPr>
        <w:spacing w:after="120"/>
      </w:pPr>
      <w:r>
        <w:rPr>
          <w:b/>
          <w:bCs/>
          <w:color w:val="1F3864"/>
          <w:sz w:val="21"/>
          <w:szCs w:val="21"/>
        </w:rPr>
        <w:t xml:space="preserve">Free Postgres expires.  </w:t>
      </w:r>
      <w:r>
        <w:rPr>
          <w:sz w:val="21"/>
          <w:szCs w:val="21"/>
        </w:rPr>
        <w:t xml:space="preserve">Roughly 30 days on Render’s free plan. Plan for an upgrade or a re-provision.</w:t>
      </w:r>
    </w:p>
    <w:p>
      <w:pPr>
        <w:spacing w:after="120"/>
      </w:pPr>
      <w:r>
        <w:rPr>
          <w:sz w:val="21"/>
          <w:szCs w:val="21"/>
        </w:rPr>
        <w:t xml:space="preserve"/>
      </w:r>
    </w:p>
    <w:p>
      <w:pPr>
        <w:shd w:fill="FEF3E2" w:color="auto" w:val="clear"/>
        <w:spacing w:after="140"/>
      </w:pPr>
      <w:r>
        <w:rPr>
          <w:color w:val="7A3E00"/>
          <w:sz w:val="20"/>
          <w:szCs w:val="20"/>
        </w:rPr>
        <w:t xml:space="preserve">Before real patients: have a wheelchair therapist review the section routing, the clinical vocabulary and the extraction output against real recordings. The tests prove the machinery does what it was told to do, not that a clinician agrees with every judgement it makes. Nothing here constitutes clinical safety approval, DCB0129/0160 assessment or a DPIA.</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Vabatim engineering summary  ·  27 August 2026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pPr>
    <w:rPr>
      <w:rFonts w:ascii="Calibri" w:cs="Calibri" w:eastAsia="Calibri" w:hAnsi="Calibri"/>
      <w:b/>
      <w:bCs/>
      <w:color w:val="1F3864"/>
      <w:sz w:val="30"/>
      <w:szCs w:val="30"/>
    </w:rPr>
  </w:style>
  <w:style w:type="paragraph" w:styleId="Heading2">
    <w:name w:val="Heading 2"/>
    <w:basedOn w:val="Normal"/>
    <w:next w:val="Normal"/>
    <w:qFormat/>
    <w:pPr>
      <w:spacing w:after="130" w:before="260"/>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2026-08-27T10:10:59.854Z</dcterms:created>
  <dcterms:modified xsi:type="dcterms:W3CDTF">2026-08-27T10:10:59.854Z</dcterms:modified>
</cp:coreProperties>
</file>

<file path=docProps/custom.xml><?xml version="1.0" encoding="utf-8"?>
<Properties xmlns="http://schemas.openxmlformats.org/officeDocument/2006/custom-properties" xmlns:vt="http://schemas.openxmlformats.org/officeDocument/2006/docPropsVTypes"/>
</file>