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6569"/>
        <w:gridCol w:w="2458"/>
      </w:tblGrid>
      <w:tr w:rsidR="00D579BC" w14:paraId="044FE74F" w14:textId="77777777">
        <w:trPr>
          <w:trHeight w:val="150"/>
          <w:tblCellSpacing w:w="0" w:type="dxa"/>
        </w:trPr>
        <w:tc>
          <w:tcPr>
            <w:tcW w:w="0" w:type="auto"/>
            <w:gridSpan w:val="2"/>
            <w:vAlign w:val="center"/>
          </w:tcPr>
          <w:p w14:paraId="04993341" w14:textId="77777777" w:rsidR="00D579BC" w:rsidRDefault="00000000">
            <w:pPr>
              <w:spacing w:after="0"/>
            </w:pPr>
            <w:r>
              <w:rPr>
                <w:rFonts w:ascii="맑은 고딕"/>
                <w:color w:val="000000"/>
                <w:sz w:val="16"/>
              </w:rPr>
              <w:t>고2_2025_03월(서울시) - 읽기영역(18~45번)</w:t>
            </w:r>
          </w:p>
        </w:tc>
      </w:tr>
      <w:tr w:rsidR="00D579BC" w14:paraId="30F65CD9" w14:textId="77777777">
        <w:trPr>
          <w:trHeight w:val="615"/>
          <w:tblCellSpacing w:w="0" w:type="dxa"/>
        </w:trPr>
        <w:tc>
          <w:tcPr>
            <w:tcW w:w="12960" w:type="dxa"/>
            <w:tcBorders>
              <w:top w:val="single" w:sz="8" w:space="0" w:color="DADADA"/>
            </w:tcBorders>
            <w:shd w:val="clear" w:color="auto" w:fill="BDD6EE"/>
            <w:vAlign w:val="center"/>
          </w:tcPr>
          <w:p w14:paraId="08698480" w14:textId="77777777" w:rsidR="00D579BC" w:rsidRDefault="00000000">
            <w:pPr>
              <w:spacing w:after="0"/>
            </w:pPr>
            <w:r>
              <w:rPr>
                <w:rFonts w:ascii="맑은 고딕"/>
                <w:b/>
                <w:color w:val="000000"/>
                <w:sz w:val="16"/>
              </w:rPr>
              <w:t>Q. 각 문장에 어법상 틀린 곳을 찾아서 표시한 후 바르게 고치고, 없다면 X표 하시오.</w:t>
            </w:r>
          </w:p>
        </w:tc>
        <w:tc>
          <w:tcPr>
            <w:tcW w:w="1440" w:type="dxa"/>
            <w:tcBorders>
              <w:top w:val="single" w:sz="8" w:space="0" w:color="DADADA"/>
            </w:tcBorders>
            <w:shd w:val="clear" w:color="auto" w:fill="BDD6EE"/>
            <w:vAlign w:val="center"/>
          </w:tcPr>
          <w:p w14:paraId="530CE692" w14:textId="77777777" w:rsidR="00D579BC" w:rsidRDefault="00000000">
            <w:pPr>
              <w:spacing w:after="0"/>
              <w:jc w:val="right"/>
            </w:pPr>
            <w:r>
              <w:rPr>
                <w:rFonts w:ascii="맑은 고딕"/>
                <w:color w:val="00008B"/>
                <w:sz w:val="16"/>
              </w:rPr>
              <w:t>어법수정(고난도)(문제지)</w:t>
            </w:r>
          </w:p>
        </w:tc>
      </w:tr>
      <w:tr w:rsidR="00D579BC" w14:paraId="2C2F8E55" w14:textId="77777777">
        <w:trPr>
          <w:trHeight w:val="150"/>
          <w:tblCellSpacing w:w="0" w:type="dxa"/>
        </w:trPr>
        <w:tc>
          <w:tcPr>
            <w:tcW w:w="0" w:type="auto"/>
            <w:gridSpan w:val="2"/>
            <w:vAlign w:val="center"/>
          </w:tcPr>
          <w:p w14:paraId="7654BEFB" w14:textId="77777777" w:rsidR="00D579BC" w:rsidRDefault="00D579BC"/>
        </w:tc>
      </w:tr>
      <w:tr w:rsidR="00D579BC" w14:paraId="7D6EB153" w14:textId="77777777">
        <w:trPr>
          <w:trHeight w:val="375"/>
          <w:tblCellSpacing w:w="0" w:type="dxa"/>
        </w:trPr>
        <w:tc>
          <w:tcPr>
            <w:tcW w:w="0" w:type="auto"/>
            <w:gridSpan w:val="2"/>
            <w:vAlign w:val="center"/>
          </w:tcPr>
          <w:p w14:paraId="377422FA" w14:textId="77777777" w:rsidR="00D579BC" w:rsidRDefault="00000000">
            <w:pPr>
              <w:spacing w:after="0"/>
            </w:pPr>
            <w:r>
              <w:rPr>
                <w:rFonts w:ascii="맑은 고딕"/>
                <w:color w:val="000000"/>
                <w:sz w:val="16"/>
              </w:rPr>
              <w:t>1. p2-no.20</w:t>
            </w:r>
          </w:p>
        </w:tc>
      </w:tr>
      <w:tr w:rsidR="00D579BC" w14:paraId="7D4920E8" w14:textId="77777777">
        <w:trPr>
          <w:trHeight w:val="75"/>
          <w:tblCellSpacing w:w="0" w:type="dxa"/>
        </w:trPr>
        <w:tc>
          <w:tcPr>
            <w:tcW w:w="0" w:type="auto"/>
            <w:gridSpan w:val="2"/>
          </w:tcPr>
          <w:p w14:paraId="1A95BB8F" w14:textId="77777777" w:rsidR="00D579BC" w:rsidRDefault="00000000">
            <w:pPr>
              <w:spacing w:after="0" w:line="240" w:lineRule="auto"/>
              <w:jc w:val="both"/>
            </w:pPr>
            <w:r>
              <w:rPr>
                <w:rFonts w:ascii="맑은 고딕"/>
                <w:color w:val="000000"/>
                <w:sz w:val="20"/>
              </w:rPr>
              <w:t>1.  Fans whom is inclined to spend a lot of time to think about that athletes owe themselves as fans should also think about the corresponding obligations what fans might have as fans.</w:t>
            </w:r>
          </w:p>
        </w:tc>
      </w:tr>
      <w:tr w:rsidR="00D579BC" w14:paraId="4C28EB67" w14:textId="77777777">
        <w:trPr>
          <w:trHeight w:val="75"/>
          <w:tblCellSpacing w:w="0" w:type="dxa"/>
        </w:trPr>
        <w:tc>
          <w:tcPr>
            <w:tcW w:w="0" w:type="auto"/>
            <w:gridSpan w:val="2"/>
          </w:tcPr>
          <w:p w14:paraId="79805AD1" w14:textId="77777777" w:rsidR="00D579BC" w:rsidRDefault="00000000">
            <w:pPr>
              <w:spacing w:after="0" w:line="240" w:lineRule="auto"/>
              <w:jc w:val="both"/>
            </w:pPr>
            <w:r>
              <w:rPr>
                <w:rFonts w:ascii="맑은 고딕"/>
                <w:color w:val="000000"/>
                <w:sz w:val="20"/>
              </w:rPr>
              <w:t>2.  One which think only about how they entitle to receive from their friends without ever give a moment's thought to that they owe their friends are, to put it mildly, not a very good friend.</w:t>
            </w:r>
          </w:p>
        </w:tc>
      </w:tr>
      <w:tr w:rsidR="00D579BC" w14:paraId="7CF287BC" w14:textId="77777777">
        <w:trPr>
          <w:trHeight w:val="75"/>
          <w:tblCellSpacing w:w="0" w:type="dxa"/>
        </w:trPr>
        <w:tc>
          <w:tcPr>
            <w:tcW w:w="0" w:type="auto"/>
            <w:gridSpan w:val="2"/>
          </w:tcPr>
          <w:p w14:paraId="58DBA269" w14:textId="77777777" w:rsidR="00D579BC" w:rsidRDefault="00000000">
            <w:pPr>
              <w:spacing w:after="0" w:line="240" w:lineRule="auto"/>
              <w:jc w:val="both"/>
            </w:pPr>
            <w:r>
              <w:rPr>
                <w:rFonts w:ascii="맑은 고딕"/>
                <w:color w:val="000000"/>
                <w:sz w:val="20"/>
              </w:rPr>
              <w:t>3.  Similarly, fans whom only thinks about that athletes owe them without ever think about that they owe to athletes has failed to take the fan/athlete relationship all that serious.</w:t>
            </w:r>
          </w:p>
        </w:tc>
      </w:tr>
      <w:tr w:rsidR="00D579BC" w14:paraId="7310A525" w14:textId="77777777">
        <w:trPr>
          <w:trHeight w:val="75"/>
          <w:tblCellSpacing w:w="0" w:type="dxa"/>
        </w:trPr>
        <w:tc>
          <w:tcPr>
            <w:tcW w:w="0" w:type="auto"/>
            <w:gridSpan w:val="2"/>
          </w:tcPr>
          <w:p w14:paraId="7F4E1F38" w14:textId="77777777" w:rsidR="00D579BC" w:rsidRDefault="00000000">
            <w:pPr>
              <w:spacing w:after="0" w:line="240" w:lineRule="auto"/>
              <w:jc w:val="both"/>
            </w:pPr>
            <w:r>
              <w:rPr>
                <w:rFonts w:ascii="맑은 고딕"/>
                <w:color w:val="000000"/>
                <w:sz w:val="20"/>
              </w:rPr>
              <w:t>4.  As in near every other area of human life, however special rights fans may possess is limited by a corresponding set of obligations, and fans whom never thinks about that they can be better fans even as they confident opine about that athletes owe them is hardly fulfilled their end of the bargain.</w:t>
            </w:r>
          </w:p>
        </w:tc>
      </w:tr>
      <w:tr w:rsidR="00D579BC" w14:paraId="6E44193D" w14:textId="77777777">
        <w:trPr>
          <w:trHeight w:val="150"/>
          <w:tblCellSpacing w:w="0" w:type="dxa"/>
        </w:trPr>
        <w:tc>
          <w:tcPr>
            <w:tcW w:w="0" w:type="auto"/>
            <w:gridSpan w:val="2"/>
            <w:vAlign w:val="center"/>
          </w:tcPr>
          <w:p w14:paraId="609C7BBE" w14:textId="77777777" w:rsidR="00D579BC" w:rsidRDefault="00D579BC"/>
        </w:tc>
      </w:tr>
      <w:tr w:rsidR="00D579BC" w14:paraId="394E3A48" w14:textId="77777777">
        <w:trPr>
          <w:trHeight w:val="375"/>
          <w:tblCellSpacing w:w="0" w:type="dxa"/>
        </w:trPr>
        <w:tc>
          <w:tcPr>
            <w:tcW w:w="0" w:type="auto"/>
            <w:gridSpan w:val="2"/>
            <w:vAlign w:val="center"/>
          </w:tcPr>
          <w:p w14:paraId="4589249B" w14:textId="77777777" w:rsidR="00D579BC" w:rsidRDefault="00000000">
            <w:pPr>
              <w:spacing w:after="0"/>
            </w:pPr>
            <w:r>
              <w:rPr>
                <w:rFonts w:ascii="맑은 고딕"/>
                <w:color w:val="000000"/>
                <w:sz w:val="16"/>
              </w:rPr>
              <w:t>2. p3-no.21</w:t>
            </w:r>
          </w:p>
        </w:tc>
      </w:tr>
      <w:tr w:rsidR="00D579BC" w14:paraId="78C03A3F" w14:textId="77777777">
        <w:trPr>
          <w:trHeight w:val="75"/>
          <w:tblCellSpacing w:w="0" w:type="dxa"/>
        </w:trPr>
        <w:tc>
          <w:tcPr>
            <w:tcW w:w="0" w:type="auto"/>
            <w:gridSpan w:val="2"/>
          </w:tcPr>
          <w:p w14:paraId="091EAC2F" w14:textId="77777777" w:rsidR="00D579BC" w:rsidRDefault="00000000">
            <w:pPr>
              <w:spacing w:after="0" w:line="240" w:lineRule="auto"/>
              <w:jc w:val="both"/>
            </w:pPr>
            <w:r>
              <w:rPr>
                <w:rFonts w:ascii="맑은 고딕"/>
                <w:color w:val="000000"/>
                <w:sz w:val="20"/>
              </w:rPr>
              <w:t>5.  The concept of ecosystem states should be familiar to anyone with a home vegetable garden.</w:t>
            </w:r>
          </w:p>
        </w:tc>
      </w:tr>
      <w:tr w:rsidR="00D579BC" w14:paraId="4715F705" w14:textId="77777777">
        <w:trPr>
          <w:trHeight w:val="75"/>
          <w:tblCellSpacing w:w="0" w:type="dxa"/>
        </w:trPr>
        <w:tc>
          <w:tcPr>
            <w:tcW w:w="0" w:type="auto"/>
            <w:gridSpan w:val="2"/>
          </w:tcPr>
          <w:p w14:paraId="0187856A" w14:textId="77777777" w:rsidR="00D579BC" w:rsidRDefault="00000000">
            <w:pPr>
              <w:spacing w:after="0" w:line="240" w:lineRule="auto"/>
              <w:jc w:val="both"/>
            </w:pPr>
            <w:r>
              <w:rPr>
                <w:rFonts w:ascii="맑은 고딕"/>
                <w:color w:val="000000"/>
                <w:sz w:val="20"/>
              </w:rPr>
              <w:t>6.  The garden is a small ecosystem what the grower attempts to keep in a specific state, namely the maximization of fruit and vegetable production.</w:t>
            </w:r>
          </w:p>
        </w:tc>
      </w:tr>
      <w:tr w:rsidR="00D579BC" w14:paraId="426F84CD" w14:textId="77777777">
        <w:trPr>
          <w:trHeight w:val="75"/>
          <w:tblCellSpacing w:w="0" w:type="dxa"/>
        </w:trPr>
        <w:tc>
          <w:tcPr>
            <w:tcW w:w="0" w:type="auto"/>
            <w:gridSpan w:val="2"/>
          </w:tcPr>
          <w:p w14:paraId="30B2478C" w14:textId="77777777" w:rsidR="00D579BC" w:rsidRDefault="00000000">
            <w:pPr>
              <w:spacing w:after="0" w:line="240" w:lineRule="auto"/>
              <w:jc w:val="both"/>
            </w:pPr>
            <w:r>
              <w:rPr>
                <w:rFonts w:ascii="맑은 고딕"/>
                <w:color w:val="000000"/>
                <w:sz w:val="20"/>
              </w:rPr>
              <w:t>7.  Achieve this, the grower is almost always intervened in the dynamics of the ecosystem; they remove unwanted plants what begins to grow and perhaps sprays insecticides and fences off the patch to stop insects and other animals to consume the vegetables.</w:t>
            </w:r>
          </w:p>
        </w:tc>
      </w:tr>
      <w:tr w:rsidR="00D579BC" w14:paraId="692E98AB" w14:textId="77777777">
        <w:trPr>
          <w:trHeight w:val="75"/>
          <w:tblCellSpacing w:w="0" w:type="dxa"/>
        </w:trPr>
        <w:tc>
          <w:tcPr>
            <w:tcW w:w="0" w:type="auto"/>
            <w:gridSpan w:val="2"/>
          </w:tcPr>
          <w:p w14:paraId="4B467620" w14:textId="77777777" w:rsidR="00D579BC" w:rsidRDefault="00000000">
            <w:pPr>
              <w:spacing w:after="0" w:line="240" w:lineRule="auto"/>
              <w:jc w:val="both"/>
            </w:pPr>
            <w:r>
              <w:rPr>
                <w:rFonts w:ascii="맑은 고딕"/>
                <w:color w:val="000000"/>
                <w:sz w:val="20"/>
              </w:rPr>
              <w:t>8.  Since maximize vegetable growth are an inherent unstable state for the ecosystem, the grower is effective kept the ball on a slope.</w:t>
            </w:r>
          </w:p>
        </w:tc>
      </w:tr>
      <w:tr w:rsidR="00D579BC" w14:paraId="1308AF5E" w14:textId="77777777">
        <w:trPr>
          <w:trHeight w:val="75"/>
          <w:tblCellSpacing w:w="0" w:type="dxa"/>
        </w:trPr>
        <w:tc>
          <w:tcPr>
            <w:tcW w:w="0" w:type="auto"/>
            <w:gridSpan w:val="2"/>
          </w:tcPr>
          <w:p w14:paraId="3BA3B94E" w14:textId="77777777" w:rsidR="00D579BC" w:rsidRDefault="00000000">
            <w:pPr>
              <w:spacing w:after="0" w:line="240" w:lineRule="auto"/>
              <w:jc w:val="both"/>
            </w:pPr>
            <w:r>
              <w:rPr>
                <w:rFonts w:ascii="맑은 고딕"/>
                <w:color w:val="000000"/>
                <w:sz w:val="20"/>
              </w:rPr>
              <w:t>9.  If the grower stops to intervene, even for a day, the ecosystem, that small patch of ground, will natural begin to shift to a more stable state.</w:t>
            </w:r>
          </w:p>
        </w:tc>
      </w:tr>
      <w:tr w:rsidR="00D579BC" w14:paraId="5C609946" w14:textId="77777777">
        <w:trPr>
          <w:trHeight w:val="75"/>
          <w:tblCellSpacing w:w="0" w:type="dxa"/>
        </w:trPr>
        <w:tc>
          <w:tcPr>
            <w:tcW w:w="0" w:type="auto"/>
            <w:gridSpan w:val="2"/>
          </w:tcPr>
          <w:p w14:paraId="4F3C6E4F" w14:textId="77777777" w:rsidR="00D579BC" w:rsidRDefault="00000000">
            <w:pPr>
              <w:spacing w:after="0" w:line="240" w:lineRule="auto"/>
              <w:jc w:val="both"/>
            </w:pPr>
            <w:r>
              <w:rPr>
                <w:rFonts w:ascii="맑은 고딕"/>
                <w:color w:val="000000"/>
                <w:sz w:val="20"/>
              </w:rPr>
              <w:t>10.  Vegetables may still grow, but yield will almost certain be lower as other plants crowd out the vegetables and wildlife consume the produce.</w:t>
            </w:r>
          </w:p>
        </w:tc>
      </w:tr>
      <w:tr w:rsidR="00D579BC" w14:paraId="6CF1FA93" w14:textId="77777777">
        <w:trPr>
          <w:trHeight w:val="150"/>
          <w:tblCellSpacing w:w="0" w:type="dxa"/>
        </w:trPr>
        <w:tc>
          <w:tcPr>
            <w:tcW w:w="0" w:type="auto"/>
            <w:gridSpan w:val="2"/>
            <w:vAlign w:val="center"/>
          </w:tcPr>
          <w:p w14:paraId="00E504B3" w14:textId="77777777" w:rsidR="00D579BC" w:rsidRDefault="00D579BC"/>
        </w:tc>
      </w:tr>
      <w:tr w:rsidR="00D579BC" w14:paraId="5F48EE83" w14:textId="77777777">
        <w:trPr>
          <w:trHeight w:val="375"/>
          <w:tblCellSpacing w:w="0" w:type="dxa"/>
        </w:trPr>
        <w:tc>
          <w:tcPr>
            <w:tcW w:w="0" w:type="auto"/>
            <w:gridSpan w:val="2"/>
            <w:vAlign w:val="center"/>
          </w:tcPr>
          <w:p w14:paraId="1A26D869" w14:textId="77777777" w:rsidR="00D579BC" w:rsidRDefault="00000000">
            <w:pPr>
              <w:spacing w:after="0"/>
            </w:pPr>
            <w:r>
              <w:rPr>
                <w:rFonts w:ascii="맑은 고딕"/>
                <w:color w:val="000000"/>
                <w:sz w:val="16"/>
              </w:rPr>
              <w:t>3. p3-no.22</w:t>
            </w:r>
          </w:p>
        </w:tc>
      </w:tr>
      <w:tr w:rsidR="00D579BC" w14:paraId="0501D9A9" w14:textId="77777777">
        <w:trPr>
          <w:trHeight w:val="75"/>
          <w:tblCellSpacing w:w="0" w:type="dxa"/>
        </w:trPr>
        <w:tc>
          <w:tcPr>
            <w:tcW w:w="0" w:type="auto"/>
            <w:gridSpan w:val="2"/>
          </w:tcPr>
          <w:p w14:paraId="0BF3048A" w14:textId="77777777" w:rsidR="00D579BC" w:rsidRDefault="00000000">
            <w:pPr>
              <w:spacing w:after="0" w:line="240" w:lineRule="auto"/>
              <w:jc w:val="both"/>
            </w:pPr>
            <w:r>
              <w:rPr>
                <w:rFonts w:ascii="맑은 고딕"/>
                <w:color w:val="000000"/>
                <w:sz w:val="20"/>
              </w:rPr>
              <w:t>11.  Commitment is the glue held together characteristical human forms of social life.</w:t>
            </w:r>
          </w:p>
        </w:tc>
      </w:tr>
      <w:tr w:rsidR="00D579BC" w14:paraId="4D37C674" w14:textId="77777777">
        <w:trPr>
          <w:trHeight w:val="75"/>
          <w:tblCellSpacing w:w="0" w:type="dxa"/>
        </w:trPr>
        <w:tc>
          <w:tcPr>
            <w:tcW w:w="0" w:type="auto"/>
            <w:gridSpan w:val="2"/>
          </w:tcPr>
          <w:p w14:paraId="3307CC5C" w14:textId="77777777" w:rsidR="00D579BC" w:rsidRDefault="00000000">
            <w:pPr>
              <w:spacing w:after="0" w:line="240" w:lineRule="auto"/>
              <w:jc w:val="both"/>
            </w:pPr>
            <w:r>
              <w:rPr>
                <w:rFonts w:ascii="맑은 고딕"/>
                <w:color w:val="000000"/>
                <w:sz w:val="20"/>
              </w:rPr>
              <w:t>12.  Commitments make individuals' behavior predictably in the face of fluctuations in their desires and interests, thereby facilitated the planning and coordination of joint actions involved multiple agents.</w:t>
            </w:r>
          </w:p>
        </w:tc>
      </w:tr>
      <w:tr w:rsidR="00D579BC" w14:paraId="7B32E4FB" w14:textId="77777777">
        <w:trPr>
          <w:trHeight w:val="75"/>
          <w:tblCellSpacing w:w="0" w:type="dxa"/>
        </w:trPr>
        <w:tc>
          <w:tcPr>
            <w:tcW w:w="0" w:type="auto"/>
            <w:gridSpan w:val="2"/>
          </w:tcPr>
          <w:p w14:paraId="6FC53298" w14:textId="77777777" w:rsidR="00D579BC" w:rsidRDefault="00000000">
            <w:pPr>
              <w:spacing w:after="0" w:line="240" w:lineRule="auto"/>
              <w:jc w:val="both"/>
            </w:pPr>
            <w:r>
              <w:rPr>
                <w:rFonts w:ascii="맑은 고딕"/>
                <w:color w:val="000000"/>
                <w:sz w:val="20"/>
              </w:rPr>
              <w:t>13.  Moreover, commitments make people willing to perform actions what they would not otherwise be performed.</w:t>
            </w:r>
          </w:p>
        </w:tc>
      </w:tr>
      <w:tr w:rsidR="00D579BC" w14:paraId="66FF0CC4" w14:textId="77777777">
        <w:trPr>
          <w:trHeight w:val="75"/>
          <w:tblCellSpacing w:w="0" w:type="dxa"/>
        </w:trPr>
        <w:tc>
          <w:tcPr>
            <w:tcW w:w="0" w:type="auto"/>
            <w:gridSpan w:val="2"/>
          </w:tcPr>
          <w:p w14:paraId="6A876372" w14:textId="77777777" w:rsidR="00D579BC" w:rsidRDefault="00000000">
            <w:pPr>
              <w:spacing w:after="0" w:line="240" w:lineRule="auto"/>
              <w:jc w:val="both"/>
            </w:pPr>
            <w:r>
              <w:rPr>
                <w:rFonts w:ascii="맑은 고딕"/>
                <w:color w:val="000000"/>
                <w:sz w:val="20"/>
              </w:rPr>
              <w:lastRenderedPageBreak/>
              <w:t>14.  For example, a taxi driver picks up his clients and transport them to their desired destination because they commit to pay him afterwards for the service, and a construction worker perform her job every day because her employer has made a credible commitment to paying her at the end of the month.</w:t>
            </w:r>
          </w:p>
        </w:tc>
      </w:tr>
      <w:tr w:rsidR="00D579BC" w14:paraId="5CD4EEB5" w14:textId="77777777">
        <w:trPr>
          <w:trHeight w:val="75"/>
          <w:tblCellSpacing w:w="0" w:type="dxa"/>
        </w:trPr>
        <w:tc>
          <w:tcPr>
            <w:tcW w:w="0" w:type="auto"/>
            <w:gridSpan w:val="2"/>
          </w:tcPr>
          <w:p w14:paraId="61999ACF" w14:textId="77777777" w:rsidR="00D579BC" w:rsidRDefault="00000000">
            <w:pPr>
              <w:spacing w:after="0" w:line="240" w:lineRule="auto"/>
              <w:jc w:val="both"/>
            </w:pPr>
            <w:r>
              <w:rPr>
                <w:rFonts w:ascii="맑은 고딕"/>
                <w:color w:val="000000"/>
                <w:sz w:val="20"/>
              </w:rPr>
              <w:t>15.  Indeed, the taxi driver and the construction worker is willing to accept money as payment only because a network of other agents (notably the central bank) are committing to take various measures to sustain the currency in question.</w:t>
            </w:r>
          </w:p>
        </w:tc>
      </w:tr>
      <w:tr w:rsidR="00D579BC" w14:paraId="14A2DC6E" w14:textId="77777777">
        <w:trPr>
          <w:trHeight w:val="75"/>
          <w:tblCellSpacing w:w="0" w:type="dxa"/>
        </w:trPr>
        <w:tc>
          <w:tcPr>
            <w:tcW w:w="0" w:type="auto"/>
            <w:gridSpan w:val="2"/>
          </w:tcPr>
          <w:p w14:paraId="6FD68B17" w14:textId="77777777" w:rsidR="00D579BC" w:rsidRDefault="00000000">
            <w:pPr>
              <w:spacing w:after="0" w:line="240" w:lineRule="auto"/>
              <w:jc w:val="both"/>
            </w:pPr>
            <w:r>
              <w:rPr>
                <w:rFonts w:ascii="맑은 고딕"/>
                <w:color w:val="000000"/>
                <w:sz w:val="20"/>
              </w:rPr>
              <w:t>16.  Thus, social objects and institutions such as jobs, money, government, scientific collaborations and marriage depends for their origin and stability upon the credibility of commitments.</w:t>
            </w:r>
          </w:p>
        </w:tc>
      </w:tr>
      <w:tr w:rsidR="00D579BC" w14:paraId="613E03DA" w14:textId="77777777">
        <w:trPr>
          <w:trHeight w:val="150"/>
          <w:tblCellSpacing w:w="0" w:type="dxa"/>
        </w:trPr>
        <w:tc>
          <w:tcPr>
            <w:tcW w:w="0" w:type="auto"/>
            <w:gridSpan w:val="2"/>
            <w:vAlign w:val="center"/>
          </w:tcPr>
          <w:p w14:paraId="46EF312A" w14:textId="77777777" w:rsidR="00D579BC" w:rsidRDefault="00D579BC"/>
        </w:tc>
      </w:tr>
      <w:tr w:rsidR="00D579BC" w14:paraId="200B1F98" w14:textId="77777777">
        <w:trPr>
          <w:trHeight w:val="375"/>
          <w:tblCellSpacing w:w="0" w:type="dxa"/>
        </w:trPr>
        <w:tc>
          <w:tcPr>
            <w:tcW w:w="0" w:type="auto"/>
            <w:gridSpan w:val="2"/>
            <w:vAlign w:val="center"/>
          </w:tcPr>
          <w:p w14:paraId="2326BC1B" w14:textId="77777777" w:rsidR="00D579BC" w:rsidRDefault="00000000">
            <w:pPr>
              <w:spacing w:after="0"/>
            </w:pPr>
            <w:r>
              <w:rPr>
                <w:rFonts w:ascii="맑은 고딕"/>
                <w:color w:val="000000"/>
                <w:sz w:val="16"/>
              </w:rPr>
              <w:t>4. p3-no.23</w:t>
            </w:r>
          </w:p>
        </w:tc>
      </w:tr>
      <w:tr w:rsidR="00D579BC" w14:paraId="3AD66690" w14:textId="77777777">
        <w:trPr>
          <w:trHeight w:val="75"/>
          <w:tblCellSpacing w:w="0" w:type="dxa"/>
        </w:trPr>
        <w:tc>
          <w:tcPr>
            <w:tcW w:w="0" w:type="auto"/>
            <w:gridSpan w:val="2"/>
          </w:tcPr>
          <w:p w14:paraId="65C7BE24" w14:textId="77777777" w:rsidR="00D579BC" w:rsidRDefault="00000000">
            <w:pPr>
              <w:spacing w:after="0" w:line="240" w:lineRule="auto"/>
              <w:jc w:val="both"/>
            </w:pPr>
            <w:r>
              <w:rPr>
                <w:rFonts w:ascii="맑은 고딕"/>
                <w:color w:val="000000"/>
                <w:sz w:val="20"/>
              </w:rPr>
              <w:t>17.  If the brain has already stored someone's face and name, why do we still end up to remember one and not the other?</w:t>
            </w:r>
          </w:p>
        </w:tc>
      </w:tr>
      <w:tr w:rsidR="00D579BC" w14:paraId="24C6E14C" w14:textId="77777777">
        <w:trPr>
          <w:trHeight w:val="75"/>
          <w:tblCellSpacing w:w="0" w:type="dxa"/>
        </w:trPr>
        <w:tc>
          <w:tcPr>
            <w:tcW w:w="0" w:type="auto"/>
            <w:gridSpan w:val="2"/>
          </w:tcPr>
          <w:p w14:paraId="4E2962FA" w14:textId="77777777" w:rsidR="00D579BC" w:rsidRDefault="00000000">
            <w:pPr>
              <w:spacing w:after="0" w:line="240" w:lineRule="auto"/>
              <w:jc w:val="both"/>
            </w:pPr>
            <w:r>
              <w:rPr>
                <w:rFonts w:ascii="맑은 고딕"/>
                <w:color w:val="000000"/>
                <w:sz w:val="20"/>
              </w:rPr>
              <w:t>18.  This is because the brain has something of a two-tier memory system at work when it comes to retrieve memories, and this gives rise to a common yet infuriated sensation: recognising someone, but not been able to remember how or why, or what is their name.</w:t>
            </w:r>
          </w:p>
        </w:tc>
      </w:tr>
      <w:tr w:rsidR="00D579BC" w14:paraId="19F6DC3C" w14:textId="77777777">
        <w:trPr>
          <w:trHeight w:val="75"/>
          <w:tblCellSpacing w:w="0" w:type="dxa"/>
        </w:trPr>
        <w:tc>
          <w:tcPr>
            <w:tcW w:w="0" w:type="auto"/>
            <w:gridSpan w:val="2"/>
          </w:tcPr>
          <w:p w14:paraId="7CBDD73B" w14:textId="77777777" w:rsidR="00D579BC" w:rsidRDefault="00000000">
            <w:pPr>
              <w:spacing w:after="0" w:line="240" w:lineRule="auto"/>
              <w:jc w:val="both"/>
            </w:pPr>
            <w:r>
              <w:rPr>
                <w:rFonts w:ascii="맑은 고딕"/>
                <w:color w:val="000000"/>
                <w:sz w:val="20"/>
              </w:rPr>
              <w:t>19.  This is happened because the brain differentiates between familiarity and recall.</w:t>
            </w:r>
          </w:p>
        </w:tc>
      </w:tr>
      <w:tr w:rsidR="00D579BC" w14:paraId="743AB88B" w14:textId="77777777">
        <w:trPr>
          <w:trHeight w:val="75"/>
          <w:tblCellSpacing w:w="0" w:type="dxa"/>
        </w:trPr>
        <w:tc>
          <w:tcPr>
            <w:tcW w:w="0" w:type="auto"/>
            <w:gridSpan w:val="2"/>
          </w:tcPr>
          <w:p w14:paraId="2E6BAF8E" w14:textId="77777777" w:rsidR="00D579BC" w:rsidRDefault="00000000">
            <w:pPr>
              <w:spacing w:after="0" w:line="240" w:lineRule="auto"/>
              <w:jc w:val="both"/>
            </w:pPr>
            <w:r>
              <w:rPr>
                <w:rFonts w:ascii="맑은 고딕"/>
                <w:color w:val="000000"/>
                <w:sz w:val="20"/>
              </w:rPr>
              <w:t>20.  To clarify, familiarity (or recognition) are when you encounter someone or something and you know you've been done so before.</w:t>
            </w:r>
          </w:p>
        </w:tc>
      </w:tr>
      <w:tr w:rsidR="00D579BC" w14:paraId="5E946F84" w14:textId="77777777">
        <w:trPr>
          <w:trHeight w:val="75"/>
          <w:tblCellSpacing w:w="0" w:type="dxa"/>
        </w:trPr>
        <w:tc>
          <w:tcPr>
            <w:tcW w:w="0" w:type="auto"/>
            <w:gridSpan w:val="2"/>
          </w:tcPr>
          <w:p w14:paraId="0BC6A429" w14:textId="77777777" w:rsidR="00D579BC" w:rsidRDefault="00000000">
            <w:pPr>
              <w:spacing w:after="0" w:line="240" w:lineRule="auto"/>
              <w:jc w:val="both"/>
            </w:pPr>
            <w:r>
              <w:rPr>
                <w:rFonts w:ascii="맑은 고딕"/>
                <w:color w:val="000000"/>
                <w:sz w:val="20"/>
              </w:rPr>
              <w:t>21.  But beyond that, you've got nothing; all you can say are this person/thing is already in your memories.</w:t>
            </w:r>
          </w:p>
        </w:tc>
      </w:tr>
      <w:tr w:rsidR="00D579BC" w14:paraId="79CE25DE" w14:textId="77777777">
        <w:trPr>
          <w:trHeight w:val="75"/>
          <w:tblCellSpacing w:w="0" w:type="dxa"/>
        </w:trPr>
        <w:tc>
          <w:tcPr>
            <w:tcW w:w="0" w:type="auto"/>
            <w:gridSpan w:val="2"/>
          </w:tcPr>
          <w:p w14:paraId="7F8704C0" w14:textId="77777777" w:rsidR="00D579BC" w:rsidRDefault="00000000">
            <w:pPr>
              <w:spacing w:after="0" w:line="240" w:lineRule="auto"/>
              <w:jc w:val="both"/>
            </w:pPr>
            <w:r>
              <w:rPr>
                <w:rFonts w:ascii="맑은 고딕"/>
                <w:color w:val="000000"/>
                <w:sz w:val="20"/>
              </w:rPr>
              <w:t>22.  Recall is when you can access the original memory of how and why you know this person; recognition is just flagged up the fact which the memory is existed.</w:t>
            </w:r>
          </w:p>
        </w:tc>
      </w:tr>
      <w:tr w:rsidR="00D579BC" w14:paraId="48E136B3" w14:textId="77777777">
        <w:trPr>
          <w:trHeight w:val="150"/>
          <w:tblCellSpacing w:w="0" w:type="dxa"/>
        </w:trPr>
        <w:tc>
          <w:tcPr>
            <w:tcW w:w="0" w:type="auto"/>
            <w:gridSpan w:val="2"/>
            <w:vAlign w:val="center"/>
          </w:tcPr>
          <w:p w14:paraId="748FBA0B" w14:textId="77777777" w:rsidR="00D579BC" w:rsidRDefault="00D579BC"/>
        </w:tc>
      </w:tr>
      <w:tr w:rsidR="00D579BC" w14:paraId="24B6EDFA" w14:textId="77777777">
        <w:trPr>
          <w:trHeight w:val="375"/>
          <w:tblCellSpacing w:w="0" w:type="dxa"/>
        </w:trPr>
        <w:tc>
          <w:tcPr>
            <w:tcW w:w="0" w:type="auto"/>
            <w:gridSpan w:val="2"/>
            <w:vAlign w:val="center"/>
          </w:tcPr>
          <w:p w14:paraId="02FC50DD" w14:textId="77777777" w:rsidR="00D579BC" w:rsidRDefault="00000000">
            <w:pPr>
              <w:spacing w:after="0"/>
            </w:pPr>
            <w:r>
              <w:rPr>
                <w:rFonts w:ascii="맑은 고딕"/>
                <w:color w:val="000000"/>
                <w:sz w:val="16"/>
              </w:rPr>
              <w:t>5. p3-no.24</w:t>
            </w:r>
          </w:p>
        </w:tc>
      </w:tr>
      <w:tr w:rsidR="00D579BC" w14:paraId="246B492A" w14:textId="77777777">
        <w:trPr>
          <w:trHeight w:val="75"/>
          <w:tblCellSpacing w:w="0" w:type="dxa"/>
        </w:trPr>
        <w:tc>
          <w:tcPr>
            <w:tcW w:w="0" w:type="auto"/>
            <w:gridSpan w:val="2"/>
          </w:tcPr>
          <w:p w14:paraId="18D45270" w14:textId="77777777" w:rsidR="00D579BC" w:rsidRDefault="00000000">
            <w:pPr>
              <w:spacing w:after="0" w:line="240" w:lineRule="auto"/>
              <w:jc w:val="both"/>
            </w:pPr>
            <w:r>
              <w:rPr>
                <w:rFonts w:ascii="맑은 고딕"/>
                <w:color w:val="000000"/>
                <w:sz w:val="20"/>
              </w:rPr>
              <w:t>23.  Since their start in the early 1950s U.S. television sitcoms charted many of the social conflicts in U.S. society: civil rights, women's rights in the home and in the workplace, children's rights, immigration and multiculturalism, as well as evolving conceptions of the family.</w:t>
            </w:r>
          </w:p>
        </w:tc>
      </w:tr>
      <w:tr w:rsidR="00D579BC" w14:paraId="0732317B" w14:textId="77777777">
        <w:trPr>
          <w:trHeight w:val="75"/>
          <w:tblCellSpacing w:w="0" w:type="dxa"/>
        </w:trPr>
        <w:tc>
          <w:tcPr>
            <w:tcW w:w="0" w:type="auto"/>
            <w:gridSpan w:val="2"/>
          </w:tcPr>
          <w:p w14:paraId="42E285C2" w14:textId="77777777" w:rsidR="00D579BC" w:rsidRDefault="00000000">
            <w:pPr>
              <w:spacing w:after="0" w:line="240" w:lineRule="auto"/>
              <w:jc w:val="both"/>
            </w:pPr>
            <w:r>
              <w:rPr>
                <w:rFonts w:ascii="맑은 고딕"/>
                <w:color w:val="000000"/>
                <w:sz w:val="20"/>
              </w:rPr>
              <w:t>24.  Each of these issues have addressed through humour in a way what have helped making more progressive values more acceptably than previously.</w:t>
            </w:r>
          </w:p>
        </w:tc>
      </w:tr>
      <w:tr w:rsidR="00D579BC" w14:paraId="588523BF" w14:textId="77777777">
        <w:trPr>
          <w:trHeight w:val="75"/>
          <w:tblCellSpacing w:w="0" w:type="dxa"/>
        </w:trPr>
        <w:tc>
          <w:tcPr>
            <w:tcW w:w="0" w:type="auto"/>
            <w:gridSpan w:val="2"/>
          </w:tcPr>
          <w:p w14:paraId="2BA0F288" w14:textId="77777777" w:rsidR="00D579BC" w:rsidRDefault="00000000">
            <w:pPr>
              <w:spacing w:after="0" w:line="240" w:lineRule="auto"/>
              <w:jc w:val="both"/>
            </w:pPr>
            <w:r>
              <w:rPr>
                <w:rFonts w:ascii="맑은 고딕"/>
                <w:color w:val="000000"/>
                <w:sz w:val="20"/>
              </w:rPr>
              <w:t>25.  Often a character, usually someone marking as a bigot, resisting one or more of these developments and were then made appear ridiculously.</w:t>
            </w:r>
          </w:p>
        </w:tc>
      </w:tr>
      <w:tr w:rsidR="00D579BC" w14:paraId="0A5F0887" w14:textId="77777777">
        <w:trPr>
          <w:trHeight w:val="75"/>
          <w:tblCellSpacing w:w="0" w:type="dxa"/>
        </w:trPr>
        <w:tc>
          <w:tcPr>
            <w:tcW w:w="0" w:type="auto"/>
            <w:gridSpan w:val="2"/>
          </w:tcPr>
          <w:p w14:paraId="06B93626" w14:textId="77777777" w:rsidR="00D579BC" w:rsidRDefault="00000000">
            <w:pPr>
              <w:spacing w:after="0" w:line="240" w:lineRule="auto"/>
              <w:jc w:val="both"/>
            </w:pPr>
            <w:r>
              <w:rPr>
                <w:rFonts w:ascii="맑은 고딕"/>
                <w:color w:val="000000"/>
                <w:sz w:val="20"/>
              </w:rPr>
              <w:t>26.  They cut down either through their own stupidity, a brief scolded from others, or both.</w:t>
            </w:r>
          </w:p>
        </w:tc>
      </w:tr>
      <w:tr w:rsidR="00D579BC" w14:paraId="21D33CC1" w14:textId="77777777">
        <w:trPr>
          <w:trHeight w:val="75"/>
          <w:tblCellSpacing w:w="0" w:type="dxa"/>
        </w:trPr>
        <w:tc>
          <w:tcPr>
            <w:tcW w:w="0" w:type="auto"/>
            <w:gridSpan w:val="2"/>
          </w:tcPr>
          <w:p w14:paraId="7AD6E9C6" w14:textId="77777777" w:rsidR="00D579BC" w:rsidRDefault="00000000">
            <w:pPr>
              <w:spacing w:after="0" w:line="240" w:lineRule="auto"/>
              <w:jc w:val="both"/>
            </w:pPr>
            <w:r>
              <w:rPr>
                <w:rFonts w:ascii="맑은 고딕"/>
                <w:color w:val="000000"/>
                <w:sz w:val="20"/>
              </w:rPr>
              <w:t>27.  In this way, the humour of sitcoms acted as a cost-effective means to encourage acceptance of a more pluralistic and tolerant society.</w:t>
            </w:r>
          </w:p>
        </w:tc>
      </w:tr>
      <w:tr w:rsidR="00D579BC" w14:paraId="6F35B82D" w14:textId="77777777">
        <w:trPr>
          <w:trHeight w:val="150"/>
          <w:tblCellSpacing w:w="0" w:type="dxa"/>
        </w:trPr>
        <w:tc>
          <w:tcPr>
            <w:tcW w:w="0" w:type="auto"/>
            <w:gridSpan w:val="2"/>
            <w:vAlign w:val="center"/>
          </w:tcPr>
          <w:p w14:paraId="3FCE7A46" w14:textId="77777777" w:rsidR="00D579BC" w:rsidRDefault="00D579BC"/>
        </w:tc>
      </w:tr>
      <w:tr w:rsidR="00D579BC" w14:paraId="2125B55E" w14:textId="77777777">
        <w:trPr>
          <w:trHeight w:val="375"/>
          <w:tblCellSpacing w:w="0" w:type="dxa"/>
        </w:trPr>
        <w:tc>
          <w:tcPr>
            <w:tcW w:w="0" w:type="auto"/>
            <w:gridSpan w:val="2"/>
            <w:vAlign w:val="center"/>
          </w:tcPr>
          <w:p w14:paraId="7AE79400" w14:textId="77777777" w:rsidR="00D579BC" w:rsidRDefault="00000000">
            <w:pPr>
              <w:spacing w:after="0"/>
            </w:pPr>
            <w:r>
              <w:rPr>
                <w:rFonts w:ascii="맑은 고딕"/>
                <w:color w:val="000000"/>
                <w:sz w:val="16"/>
              </w:rPr>
              <w:t>6. p5-no.29</w:t>
            </w:r>
          </w:p>
        </w:tc>
      </w:tr>
      <w:tr w:rsidR="00D579BC" w14:paraId="5AAEF738" w14:textId="77777777">
        <w:trPr>
          <w:trHeight w:val="75"/>
          <w:tblCellSpacing w:w="0" w:type="dxa"/>
        </w:trPr>
        <w:tc>
          <w:tcPr>
            <w:tcW w:w="0" w:type="auto"/>
            <w:gridSpan w:val="2"/>
          </w:tcPr>
          <w:p w14:paraId="3EABAA3F" w14:textId="77777777" w:rsidR="00D579BC" w:rsidRDefault="00000000">
            <w:pPr>
              <w:spacing w:after="0" w:line="240" w:lineRule="auto"/>
              <w:jc w:val="both"/>
            </w:pPr>
            <w:r>
              <w:rPr>
                <w:rFonts w:ascii="맑은 고딕"/>
                <w:color w:val="000000"/>
                <w:sz w:val="20"/>
              </w:rPr>
              <w:lastRenderedPageBreak/>
              <w:t>28.  The prominence of the social dimension in food writing might suggest what the flavor of food are taken a back seat.</w:t>
            </w:r>
          </w:p>
        </w:tc>
      </w:tr>
      <w:tr w:rsidR="00D579BC" w14:paraId="4580264B" w14:textId="77777777">
        <w:trPr>
          <w:trHeight w:val="75"/>
          <w:tblCellSpacing w:w="0" w:type="dxa"/>
        </w:trPr>
        <w:tc>
          <w:tcPr>
            <w:tcW w:w="0" w:type="auto"/>
            <w:gridSpan w:val="2"/>
          </w:tcPr>
          <w:p w14:paraId="054F125D" w14:textId="77777777" w:rsidR="00D579BC" w:rsidRDefault="00000000">
            <w:pPr>
              <w:spacing w:after="0" w:line="240" w:lineRule="auto"/>
              <w:jc w:val="both"/>
            </w:pPr>
            <w:r>
              <w:rPr>
                <w:rFonts w:ascii="맑은 고딕"/>
                <w:color w:val="000000"/>
                <w:sz w:val="20"/>
              </w:rPr>
              <w:t>29.  I suspect what most people view flavor as of secondary importance in social settings which food serves.</w:t>
            </w:r>
          </w:p>
        </w:tc>
      </w:tr>
      <w:tr w:rsidR="00D579BC" w14:paraId="0D4B15A7" w14:textId="77777777">
        <w:trPr>
          <w:trHeight w:val="75"/>
          <w:tblCellSpacing w:w="0" w:type="dxa"/>
        </w:trPr>
        <w:tc>
          <w:tcPr>
            <w:tcW w:w="0" w:type="auto"/>
            <w:gridSpan w:val="2"/>
          </w:tcPr>
          <w:p w14:paraId="6049E10A" w14:textId="77777777" w:rsidR="00D579BC" w:rsidRDefault="00000000">
            <w:pPr>
              <w:spacing w:after="0" w:line="240" w:lineRule="auto"/>
              <w:jc w:val="both"/>
            </w:pPr>
            <w:r>
              <w:rPr>
                <w:rFonts w:ascii="맑은 고딕"/>
                <w:color w:val="000000"/>
                <w:sz w:val="20"/>
              </w:rPr>
              <w:t>30.  Despite our social gatherings coalesce around food, the meaning of these gatherings do not seem to depend on flavor.</w:t>
            </w:r>
          </w:p>
        </w:tc>
      </w:tr>
      <w:tr w:rsidR="00D579BC" w14:paraId="19A0FA15" w14:textId="77777777">
        <w:trPr>
          <w:trHeight w:val="75"/>
          <w:tblCellSpacing w:w="0" w:type="dxa"/>
        </w:trPr>
        <w:tc>
          <w:tcPr>
            <w:tcW w:w="0" w:type="auto"/>
            <w:gridSpan w:val="2"/>
          </w:tcPr>
          <w:p w14:paraId="148A530E" w14:textId="77777777" w:rsidR="00D579BC" w:rsidRDefault="00000000">
            <w:pPr>
              <w:spacing w:after="0" w:line="240" w:lineRule="auto"/>
              <w:jc w:val="both"/>
            </w:pPr>
            <w:r>
              <w:rPr>
                <w:rFonts w:ascii="맑은 고딕"/>
                <w:color w:val="000000"/>
                <w:sz w:val="20"/>
              </w:rPr>
              <w:t>31.  Flavor assisted with the narrow purpose of fill the belly, and once what accomplishes it provide the backdrop for whatever social dynamics characterize the gathering.</w:t>
            </w:r>
          </w:p>
        </w:tc>
      </w:tr>
      <w:tr w:rsidR="00D579BC" w14:paraId="4B63156C" w14:textId="77777777">
        <w:trPr>
          <w:trHeight w:val="75"/>
          <w:tblCellSpacing w:w="0" w:type="dxa"/>
        </w:trPr>
        <w:tc>
          <w:tcPr>
            <w:tcW w:w="0" w:type="auto"/>
            <w:gridSpan w:val="2"/>
          </w:tcPr>
          <w:p w14:paraId="4FA6C1BB" w14:textId="77777777" w:rsidR="00D579BC" w:rsidRDefault="00000000">
            <w:pPr>
              <w:spacing w:after="0" w:line="240" w:lineRule="auto"/>
              <w:jc w:val="both"/>
            </w:pPr>
            <w:r>
              <w:rPr>
                <w:rFonts w:ascii="맑은 고딕"/>
                <w:color w:val="000000"/>
                <w:sz w:val="20"/>
              </w:rPr>
              <w:t>32.  These can understand independent of the flavor of the food on offer, the appreciation of that understands to be personal and subjective.</w:t>
            </w:r>
          </w:p>
        </w:tc>
      </w:tr>
      <w:tr w:rsidR="00D579BC" w14:paraId="4963485D" w14:textId="77777777">
        <w:trPr>
          <w:trHeight w:val="75"/>
          <w:tblCellSpacing w:w="0" w:type="dxa"/>
        </w:trPr>
        <w:tc>
          <w:tcPr>
            <w:tcW w:w="0" w:type="auto"/>
            <w:gridSpan w:val="2"/>
          </w:tcPr>
          <w:p w14:paraId="3339BF0E" w14:textId="77777777" w:rsidR="00D579BC" w:rsidRDefault="00000000">
            <w:pPr>
              <w:spacing w:after="0" w:line="240" w:lineRule="auto"/>
              <w:jc w:val="both"/>
            </w:pPr>
            <w:r>
              <w:rPr>
                <w:rFonts w:ascii="맑은 고딕"/>
                <w:color w:val="000000"/>
                <w:sz w:val="20"/>
              </w:rPr>
              <w:t>33.  According to this conventional wisdom, the ceremonies and rituals around food, the social events what supplies food with its meaning, do not depend on the quality of sensations providing by the food.</w:t>
            </w:r>
          </w:p>
        </w:tc>
      </w:tr>
      <w:tr w:rsidR="00D579BC" w14:paraId="104D1EC0" w14:textId="77777777">
        <w:trPr>
          <w:trHeight w:val="75"/>
          <w:tblCellSpacing w:w="0" w:type="dxa"/>
        </w:trPr>
        <w:tc>
          <w:tcPr>
            <w:tcW w:w="0" w:type="auto"/>
            <w:gridSpan w:val="2"/>
          </w:tcPr>
          <w:p w14:paraId="00DBEE2F" w14:textId="77777777" w:rsidR="00D579BC" w:rsidRDefault="00000000">
            <w:pPr>
              <w:spacing w:after="0" w:line="240" w:lineRule="auto"/>
              <w:jc w:val="both"/>
            </w:pPr>
            <w:r>
              <w:rPr>
                <w:rFonts w:ascii="맑은 고딕"/>
                <w:color w:val="000000"/>
                <w:sz w:val="20"/>
              </w:rPr>
              <w:t>34.  Focus excessive on flavor are to miss the larger significance of these social relations.</w:t>
            </w:r>
          </w:p>
        </w:tc>
      </w:tr>
      <w:tr w:rsidR="00D579BC" w14:paraId="3E6795E6" w14:textId="77777777">
        <w:trPr>
          <w:trHeight w:val="150"/>
          <w:tblCellSpacing w:w="0" w:type="dxa"/>
        </w:trPr>
        <w:tc>
          <w:tcPr>
            <w:tcW w:w="0" w:type="auto"/>
            <w:gridSpan w:val="2"/>
            <w:vAlign w:val="center"/>
          </w:tcPr>
          <w:p w14:paraId="79A15C87" w14:textId="77777777" w:rsidR="00D579BC" w:rsidRDefault="00D579BC"/>
        </w:tc>
      </w:tr>
      <w:tr w:rsidR="00D579BC" w14:paraId="26060E96" w14:textId="77777777">
        <w:trPr>
          <w:trHeight w:val="375"/>
          <w:tblCellSpacing w:w="0" w:type="dxa"/>
        </w:trPr>
        <w:tc>
          <w:tcPr>
            <w:tcW w:w="0" w:type="auto"/>
            <w:gridSpan w:val="2"/>
            <w:vAlign w:val="center"/>
          </w:tcPr>
          <w:p w14:paraId="26EE7B89" w14:textId="77777777" w:rsidR="00D579BC" w:rsidRDefault="00000000">
            <w:pPr>
              <w:spacing w:after="0"/>
            </w:pPr>
            <w:r>
              <w:rPr>
                <w:rFonts w:ascii="맑은 고딕"/>
                <w:color w:val="000000"/>
                <w:sz w:val="16"/>
              </w:rPr>
              <w:t>7. p5-no.30</w:t>
            </w:r>
          </w:p>
        </w:tc>
      </w:tr>
      <w:tr w:rsidR="00D579BC" w14:paraId="79D1984F" w14:textId="77777777">
        <w:trPr>
          <w:trHeight w:val="75"/>
          <w:tblCellSpacing w:w="0" w:type="dxa"/>
        </w:trPr>
        <w:tc>
          <w:tcPr>
            <w:tcW w:w="0" w:type="auto"/>
            <w:gridSpan w:val="2"/>
          </w:tcPr>
          <w:p w14:paraId="516A65D6" w14:textId="77777777" w:rsidR="00D579BC" w:rsidRDefault="00000000">
            <w:pPr>
              <w:spacing w:after="0" w:line="240" w:lineRule="auto"/>
              <w:jc w:val="both"/>
            </w:pPr>
            <w:r>
              <w:rPr>
                <w:rFonts w:ascii="맑은 고딕"/>
                <w:color w:val="000000"/>
                <w:sz w:val="20"/>
              </w:rPr>
              <w:t>35.  There are reasons which science is not full trusting and why healthy skepticism and critical thinking is essential.</w:t>
            </w:r>
          </w:p>
        </w:tc>
      </w:tr>
      <w:tr w:rsidR="00D579BC" w14:paraId="6A7FEB2B" w14:textId="77777777">
        <w:trPr>
          <w:trHeight w:val="75"/>
          <w:tblCellSpacing w:w="0" w:type="dxa"/>
        </w:trPr>
        <w:tc>
          <w:tcPr>
            <w:tcW w:w="0" w:type="auto"/>
            <w:gridSpan w:val="2"/>
          </w:tcPr>
          <w:p w14:paraId="78CCF92B" w14:textId="77777777" w:rsidR="00D579BC" w:rsidRDefault="00000000">
            <w:pPr>
              <w:spacing w:after="0" w:line="240" w:lineRule="auto"/>
              <w:jc w:val="both"/>
            </w:pPr>
            <w:r>
              <w:rPr>
                <w:rFonts w:ascii="맑은 고딕"/>
                <w:color w:val="000000"/>
                <w:sz w:val="20"/>
              </w:rPr>
              <w:t>36.  In spite of professional standards, claims of objectivity, and the peer review process, the conduct of science can be biased.</w:t>
            </w:r>
          </w:p>
        </w:tc>
      </w:tr>
      <w:tr w:rsidR="00D579BC" w14:paraId="340E6D12" w14:textId="77777777">
        <w:trPr>
          <w:trHeight w:val="75"/>
          <w:tblCellSpacing w:w="0" w:type="dxa"/>
        </w:trPr>
        <w:tc>
          <w:tcPr>
            <w:tcW w:w="0" w:type="auto"/>
            <w:gridSpan w:val="2"/>
          </w:tcPr>
          <w:p w14:paraId="486DB6E6" w14:textId="77777777" w:rsidR="00D579BC" w:rsidRDefault="00000000">
            <w:pPr>
              <w:spacing w:after="0" w:line="240" w:lineRule="auto"/>
              <w:jc w:val="both"/>
            </w:pPr>
            <w:r>
              <w:rPr>
                <w:rFonts w:ascii="맑은 고딕"/>
                <w:color w:val="000000"/>
                <w:sz w:val="20"/>
              </w:rPr>
              <w:t>37.  All experts are not the same, nor they do submit their work to the same scrutiny.</w:t>
            </w:r>
          </w:p>
        </w:tc>
      </w:tr>
      <w:tr w:rsidR="00D579BC" w14:paraId="183BC191" w14:textId="77777777">
        <w:trPr>
          <w:trHeight w:val="75"/>
          <w:tblCellSpacing w:w="0" w:type="dxa"/>
        </w:trPr>
        <w:tc>
          <w:tcPr>
            <w:tcW w:w="0" w:type="auto"/>
            <w:gridSpan w:val="2"/>
          </w:tcPr>
          <w:p w14:paraId="287B2B60" w14:textId="77777777" w:rsidR="00D579BC" w:rsidRDefault="00000000">
            <w:pPr>
              <w:spacing w:after="0" w:line="240" w:lineRule="auto"/>
              <w:jc w:val="both"/>
            </w:pPr>
            <w:r>
              <w:rPr>
                <w:rFonts w:ascii="맑은 고딕"/>
                <w:color w:val="000000"/>
                <w:sz w:val="20"/>
              </w:rPr>
              <w:t>38.  Know the source of funding can be important in evaluate scientific claims.</w:t>
            </w:r>
          </w:p>
        </w:tc>
      </w:tr>
      <w:tr w:rsidR="00D579BC" w14:paraId="3894CEB7" w14:textId="77777777">
        <w:trPr>
          <w:trHeight w:val="75"/>
          <w:tblCellSpacing w:w="0" w:type="dxa"/>
        </w:trPr>
        <w:tc>
          <w:tcPr>
            <w:tcW w:w="0" w:type="auto"/>
            <w:gridSpan w:val="2"/>
          </w:tcPr>
          <w:p w14:paraId="477D9A49" w14:textId="77777777" w:rsidR="00D579BC" w:rsidRDefault="00000000">
            <w:pPr>
              <w:spacing w:after="0" w:line="240" w:lineRule="auto"/>
              <w:jc w:val="both"/>
            </w:pPr>
            <w:r>
              <w:rPr>
                <w:rFonts w:ascii="맑은 고딕"/>
                <w:color w:val="000000"/>
                <w:sz w:val="20"/>
              </w:rPr>
              <w:t>39.  For example, the Harvard researchers which had made claims in the late 1960s about the problems with dietary fat, led the nation away from perceive sugar as one of the main cause in health problems, was funding in part by the sugar industry.</w:t>
            </w:r>
          </w:p>
        </w:tc>
      </w:tr>
      <w:tr w:rsidR="00D579BC" w14:paraId="6FB3B451" w14:textId="77777777">
        <w:trPr>
          <w:trHeight w:val="75"/>
          <w:tblCellSpacing w:w="0" w:type="dxa"/>
        </w:trPr>
        <w:tc>
          <w:tcPr>
            <w:tcW w:w="0" w:type="auto"/>
            <w:gridSpan w:val="2"/>
          </w:tcPr>
          <w:p w14:paraId="3FCB2769" w14:textId="77777777" w:rsidR="00D579BC" w:rsidRDefault="00000000">
            <w:pPr>
              <w:spacing w:after="0" w:line="240" w:lineRule="auto"/>
              <w:jc w:val="both"/>
            </w:pPr>
            <w:r>
              <w:rPr>
                <w:rFonts w:ascii="맑은 고딕"/>
                <w:color w:val="000000"/>
                <w:sz w:val="20"/>
              </w:rPr>
              <w:t>40.  The authors did not reveal their funding source to the New England Journal of Medicine, which their influential article was appeared.</w:t>
            </w:r>
          </w:p>
        </w:tc>
      </w:tr>
      <w:tr w:rsidR="00D579BC" w14:paraId="5AF93749" w14:textId="77777777">
        <w:trPr>
          <w:trHeight w:val="75"/>
          <w:tblCellSpacing w:w="0" w:type="dxa"/>
        </w:trPr>
        <w:tc>
          <w:tcPr>
            <w:tcW w:w="0" w:type="auto"/>
            <w:gridSpan w:val="2"/>
          </w:tcPr>
          <w:p w14:paraId="5C198B13" w14:textId="77777777" w:rsidR="00D579BC" w:rsidRDefault="00000000">
            <w:pPr>
              <w:spacing w:after="0" w:line="240" w:lineRule="auto"/>
              <w:jc w:val="both"/>
            </w:pPr>
            <w:r>
              <w:rPr>
                <w:rFonts w:ascii="맑은 고딕"/>
                <w:color w:val="000000"/>
                <w:sz w:val="20"/>
              </w:rPr>
              <w:t>41.  Their article shaped a generation of changes in eat patterns what appear to have been fostered higher use of sugar, now wide implicating as a source of the rise in obesity and diabetes.</w:t>
            </w:r>
          </w:p>
        </w:tc>
      </w:tr>
      <w:tr w:rsidR="00D579BC" w14:paraId="70527CF6" w14:textId="77777777">
        <w:trPr>
          <w:trHeight w:val="75"/>
          <w:tblCellSpacing w:w="0" w:type="dxa"/>
        </w:trPr>
        <w:tc>
          <w:tcPr>
            <w:tcW w:w="0" w:type="auto"/>
            <w:gridSpan w:val="2"/>
          </w:tcPr>
          <w:p w14:paraId="25CACE21" w14:textId="77777777" w:rsidR="00D579BC" w:rsidRDefault="00000000">
            <w:pPr>
              <w:spacing w:after="0" w:line="240" w:lineRule="auto"/>
              <w:jc w:val="both"/>
            </w:pPr>
            <w:r>
              <w:rPr>
                <w:rFonts w:ascii="맑은 고딕"/>
                <w:color w:val="000000"/>
                <w:sz w:val="20"/>
              </w:rPr>
              <w:t>42.  Stories such as this one fuels suspicion ─ but also leads to further safeguards in the scientific process.</w:t>
            </w:r>
          </w:p>
        </w:tc>
      </w:tr>
      <w:tr w:rsidR="00D579BC" w14:paraId="7A079E1E" w14:textId="77777777">
        <w:trPr>
          <w:trHeight w:val="75"/>
          <w:tblCellSpacing w:w="0" w:type="dxa"/>
        </w:trPr>
        <w:tc>
          <w:tcPr>
            <w:tcW w:w="0" w:type="auto"/>
            <w:gridSpan w:val="2"/>
          </w:tcPr>
          <w:p w14:paraId="2790D351" w14:textId="77777777" w:rsidR="00D579BC" w:rsidRDefault="00000000">
            <w:pPr>
              <w:spacing w:after="0" w:line="240" w:lineRule="auto"/>
              <w:jc w:val="both"/>
            </w:pPr>
            <w:r>
              <w:rPr>
                <w:rFonts w:ascii="맑은 고딕"/>
                <w:color w:val="000000"/>
                <w:sz w:val="20"/>
              </w:rPr>
              <w:t>43.  Funding disclosures, although not requiring five decades ago, has since made compulsorily.</w:t>
            </w:r>
          </w:p>
        </w:tc>
      </w:tr>
      <w:tr w:rsidR="00D579BC" w14:paraId="5A48CF3B" w14:textId="77777777">
        <w:trPr>
          <w:trHeight w:val="150"/>
          <w:tblCellSpacing w:w="0" w:type="dxa"/>
        </w:trPr>
        <w:tc>
          <w:tcPr>
            <w:tcW w:w="0" w:type="auto"/>
            <w:gridSpan w:val="2"/>
            <w:vAlign w:val="center"/>
          </w:tcPr>
          <w:p w14:paraId="1149E0FC" w14:textId="77777777" w:rsidR="00D579BC" w:rsidRDefault="00D579BC"/>
        </w:tc>
      </w:tr>
      <w:tr w:rsidR="00D579BC" w14:paraId="3EA3C9F5" w14:textId="77777777">
        <w:trPr>
          <w:trHeight w:val="375"/>
          <w:tblCellSpacing w:w="0" w:type="dxa"/>
        </w:trPr>
        <w:tc>
          <w:tcPr>
            <w:tcW w:w="0" w:type="auto"/>
            <w:gridSpan w:val="2"/>
            <w:vAlign w:val="center"/>
          </w:tcPr>
          <w:p w14:paraId="3642E04D" w14:textId="77777777" w:rsidR="00D579BC" w:rsidRDefault="00000000">
            <w:pPr>
              <w:spacing w:after="0"/>
            </w:pPr>
            <w:r>
              <w:rPr>
                <w:rFonts w:ascii="맑은 고딕"/>
                <w:color w:val="000000"/>
                <w:sz w:val="16"/>
              </w:rPr>
              <w:t>8. p5-no.31</w:t>
            </w:r>
          </w:p>
        </w:tc>
      </w:tr>
      <w:tr w:rsidR="00D579BC" w14:paraId="66B7C638" w14:textId="77777777">
        <w:trPr>
          <w:trHeight w:val="75"/>
          <w:tblCellSpacing w:w="0" w:type="dxa"/>
        </w:trPr>
        <w:tc>
          <w:tcPr>
            <w:tcW w:w="0" w:type="auto"/>
            <w:gridSpan w:val="2"/>
          </w:tcPr>
          <w:p w14:paraId="2C8789A2" w14:textId="77777777" w:rsidR="00D579BC" w:rsidRDefault="00000000">
            <w:pPr>
              <w:spacing w:after="0" w:line="240" w:lineRule="auto"/>
              <w:jc w:val="both"/>
            </w:pPr>
            <w:r>
              <w:rPr>
                <w:rFonts w:ascii="맑은 고딕"/>
                <w:color w:val="000000"/>
                <w:sz w:val="20"/>
              </w:rPr>
              <w:t>44.  The explosion of popular music in the second half of the twentieth century as well as the global circulation and dissemination of music by the creative industries propelling a new understanding of accessbility in relation to music.</w:t>
            </w:r>
          </w:p>
        </w:tc>
      </w:tr>
      <w:tr w:rsidR="00D579BC" w14:paraId="2954D7C5" w14:textId="77777777">
        <w:trPr>
          <w:trHeight w:val="75"/>
          <w:tblCellSpacing w:w="0" w:type="dxa"/>
        </w:trPr>
        <w:tc>
          <w:tcPr>
            <w:tcW w:w="0" w:type="auto"/>
            <w:gridSpan w:val="2"/>
          </w:tcPr>
          <w:p w14:paraId="333C3F4A" w14:textId="77777777" w:rsidR="00D579BC" w:rsidRDefault="00000000">
            <w:pPr>
              <w:spacing w:after="0" w:line="240" w:lineRule="auto"/>
              <w:jc w:val="both"/>
            </w:pPr>
            <w:r>
              <w:rPr>
                <w:rFonts w:ascii="맑은 고딕"/>
                <w:color w:val="000000"/>
                <w:sz w:val="20"/>
              </w:rPr>
              <w:t xml:space="preserve">45.  Suddenly, in the 1950s, anyone could pick up spoons, a couple of pans, a second-hand guitar </w:t>
            </w:r>
            <w:r>
              <w:rPr>
                <w:rFonts w:ascii="맑은 고딕"/>
                <w:color w:val="000000"/>
                <w:sz w:val="20"/>
              </w:rPr>
              <w:lastRenderedPageBreak/>
              <w:t>and starting a band.</w:t>
            </w:r>
          </w:p>
        </w:tc>
      </w:tr>
      <w:tr w:rsidR="00D579BC" w14:paraId="409FB439" w14:textId="77777777">
        <w:trPr>
          <w:trHeight w:val="75"/>
          <w:tblCellSpacing w:w="0" w:type="dxa"/>
        </w:trPr>
        <w:tc>
          <w:tcPr>
            <w:tcW w:w="0" w:type="auto"/>
            <w:gridSpan w:val="2"/>
          </w:tcPr>
          <w:p w14:paraId="36E66AE5" w14:textId="77777777" w:rsidR="00D579BC" w:rsidRDefault="00000000">
            <w:pPr>
              <w:spacing w:after="0" w:line="240" w:lineRule="auto"/>
              <w:jc w:val="both"/>
            </w:pPr>
            <w:r>
              <w:rPr>
                <w:rFonts w:ascii="맑은 고딕"/>
                <w:color w:val="000000"/>
                <w:sz w:val="20"/>
              </w:rPr>
              <w:lastRenderedPageBreak/>
              <w:t>46.  This led to specific genres such as skiffle, but also, more generally, reflecting a very more relaxing and inclusive attitude to music making.</w:t>
            </w:r>
          </w:p>
        </w:tc>
      </w:tr>
      <w:tr w:rsidR="00D579BC" w14:paraId="115205A9" w14:textId="77777777">
        <w:trPr>
          <w:trHeight w:val="75"/>
          <w:tblCellSpacing w:w="0" w:type="dxa"/>
        </w:trPr>
        <w:tc>
          <w:tcPr>
            <w:tcW w:w="0" w:type="auto"/>
            <w:gridSpan w:val="2"/>
          </w:tcPr>
          <w:p w14:paraId="49D1D12A" w14:textId="77777777" w:rsidR="00D579BC" w:rsidRDefault="00000000">
            <w:pPr>
              <w:spacing w:after="0" w:line="240" w:lineRule="auto"/>
              <w:jc w:val="both"/>
            </w:pPr>
            <w:r>
              <w:rPr>
                <w:rFonts w:ascii="맑은 고딕"/>
                <w:color w:val="000000"/>
                <w:sz w:val="20"/>
              </w:rPr>
              <w:t>47.  While ordinary people had always sung and made music, the popular music movement drove by a spirit of rebellion and freedom.</w:t>
            </w:r>
          </w:p>
        </w:tc>
      </w:tr>
      <w:tr w:rsidR="00D579BC" w14:paraId="029F8DA8" w14:textId="77777777">
        <w:trPr>
          <w:trHeight w:val="75"/>
          <w:tblCellSpacing w:w="0" w:type="dxa"/>
        </w:trPr>
        <w:tc>
          <w:tcPr>
            <w:tcW w:w="0" w:type="auto"/>
            <w:gridSpan w:val="2"/>
          </w:tcPr>
          <w:p w14:paraId="12AFF03A" w14:textId="77777777" w:rsidR="00D579BC" w:rsidRDefault="00000000">
            <w:pPr>
              <w:spacing w:after="0" w:line="240" w:lineRule="auto"/>
              <w:jc w:val="both"/>
            </w:pPr>
            <w:r>
              <w:rPr>
                <w:rFonts w:ascii="맑은 고딕"/>
                <w:color w:val="000000"/>
                <w:sz w:val="20"/>
              </w:rPr>
              <w:t>48.  This approach led to the punk movement, whom musicians even made it a condition for their music being non-virtuosic and accessible to all in the 1970s.</w:t>
            </w:r>
          </w:p>
        </w:tc>
      </w:tr>
      <w:tr w:rsidR="00D579BC" w14:paraId="24F17CDC" w14:textId="77777777">
        <w:trPr>
          <w:trHeight w:val="75"/>
          <w:tblCellSpacing w:w="0" w:type="dxa"/>
        </w:trPr>
        <w:tc>
          <w:tcPr>
            <w:tcW w:w="0" w:type="auto"/>
            <w:gridSpan w:val="2"/>
          </w:tcPr>
          <w:p w14:paraId="3E0A1C6E" w14:textId="77777777" w:rsidR="00D579BC" w:rsidRDefault="00000000">
            <w:pPr>
              <w:spacing w:after="0" w:line="240" w:lineRule="auto"/>
              <w:jc w:val="both"/>
            </w:pPr>
            <w:r>
              <w:rPr>
                <w:rFonts w:ascii="맑은 고딕"/>
                <w:color w:val="000000"/>
                <w:sz w:val="20"/>
              </w:rPr>
              <w:t>49.  Groups whom had been entire excluding from music revelling in opportunities to create.</w:t>
            </w:r>
          </w:p>
        </w:tc>
      </w:tr>
      <w:tr w:rsidR="00D579BC" w14:paraId="1285FB59" w14:textId="77777777">
        <w:trPr>
          <w:trHeight w:val="75"/>
          <w:tblCellSpacing w:w="0" w:type="dxa"/>
        </w:trPr>
        <w:tc>
          <w:tcPr>
            <w:tcW w:w="0" w:type="auto"/>
            <w:gridSpan w:val="2"/>
          </w:tcPr>
          <w:p w14:paraId="5F4FC6AE" w14:textId="77777777" w:rsidR="00D579BC" w:rsidRDefault="00000000">
            <w:pPr>
              <w:spacing w:after="0" w:line="240" w:lineRule="auto"/>
              <w:jc w:val="both"/>
            </w:pPr>
            <w:r>
              <w:rPr>
                <w:rFonts w:ascii="맑은 고딕"/>
                <w:color w:val="000000"/>
                <w:sz w:val="20"/>
              </w:rPr>
              <w:t>50.  This led to a sense of novelty and empowerment in and beyond the music sphere.</w:t>
            </w:r>
          </w:p>
        </w:tc>
      </w:tr>
      <w:tr w:rsidR="00D579BC" w14:paraId="0BE569F6" w14:textId="77777777">
        <w:trPr>
          <w:trHeight w:val="150"/>
          <w:tblCellSpacing w:w="0" w:type="dxa"/>
        </w:trPr>
        <w:tc>
          <w:tcPr>
            <w:tcW w:w="0" w:type="auto"/>
            <w:gridSpan w:val="2"/>
            <w:vAlign w:val="center"/>
          </w:tcPr>
          <w:p w14:paraId="39083BA8" w14:textId="77777777" w:rsidR="00D579BC" w:rsidRDefault="00D579BC"/>
        </w:tc>
      </w:tr>
      <w:tr w:rsidR="00D579BC" w14:paraId="63A8F759" w14:textId="77777777">
        <w:trPr>
          <w:trHeight w:val="375"/>
          <w:tblCellSpacing w:w="0" w:type="dxa"/>
        </w:trPr>
        <w:tc>
          <w:tcPr>
            <w:tcW w:w="0" w:type="auto"/>
            <w:gridSpan w:val="2"/>
            <w:vAlign w:val="center"/>
          </w:tcPr>
          <w:p w14:paraId="7B1EB23E" w14:textId="77777777" w:rsidR="00D579BC" w:rsidRDefault="00000000">
            <w:pPr>
              <w:spacing w:after="0"/>
            </w:pPr>
            <w:r>
              <w:rPr>
                <w:rFonts w:ascii="맑은 고딕"/>
                <w:color w:val="000000"/>
                <w:sz w:val="16"/>
              </w:rPr>
              <w:t>9. p5-no.32</w:t>
            </w:r>
          </w:p>
        </w:tc>
      </w:tr>
      <w:tr w:rsidR="00D579BC" w14:paraId="1E907F17" w14:textId="77777777">
        <w:trPr>
          <w:trHeight w:val="75"/>
          <w:tblCellSpacing w:w="0" w:type="dxa"/>
        </w:trPr>
        <w:tc>
          <w:tcPr>
            <w:tcW w:w="0" w:type="auto"/>
            <w:gridSpan w:val="2"/>
          </w:tcPr>
          <w:p w14:paraId="6425F0B7" w14:textId="77777777" w:rsidR="00D579BC" w:rsidRDefault="00000000">
            <w:pPr>
              <w:spacing w:after="0" w:line="240" w:lineRule="auto"/>
              <w:jc w:val="both"/>
            </w:pPr>
            <w:r>
              <w:rPr>
                <w:rFonts w:ascii="맑은 고딕"/>
                <w:color w:val="000000"/>
                <w:sz w:val="20"/>
              </w:rPr>
              <w:t>51.  Great scientists are seldom one-hit wonders.</w:t>
            </w:r>
          </w:p>
        </w:tc>
      </w:tr>
      <w:tr w:rsidR="00D579BC" w14:paraId="43F86277" w14:textId="77777777">
        <w:trPr>
          <w:trHeight w:val="75"/>
          <w:tblCellSpacing w:w="0" w:type="dxa"/>
        </w:trPr>
        <w:tc>
          <w:tcPr>
            <w:tcW w:w="0" w:type="auto"/>
            <w:gridSpan w:val="2"/>
          </w:tcPr>
          <w:p w14:paraId="28684A55" w14:textId="77777777" w:rsidR="00D579BC" w:rsidRDefault="00000000">
            <w:pPr>
              <w:spacing w:after="0" w:line="240" w:lineRule="auto"/>
              <w:jc w:val="both"/>
            </w:pPr>
            <w:r>
              <w:rPr>
                <w:rFonts w:ascii="맑은 고딕"/>
                <w:color w:val="000000"/>
                <w:sz w:val="20"/>
              </w:rPr>
              <w:t>52.  Newton is a prime example: beyond the Newtonian mechanics, he developed the theory of gravitation, calculus, laws of motion, and optimization.</w:t>
            </w:r>
          </w:p>
        </w:tc>
      </w:tr>
      <w:tr w:rsidR="00D579BC" w14:paraId="5EA253D0" w14:textId="77777777">
        <w:trPr>
          <w:trHeight w:val="75"/>
          <w:tblCellSpacing w:w="0" w:type="dxa"/>
        </w:trPr>
        <w:tc>
          <w:tcPr>
            <w:tcW w:w="0" w:type="auto"/>
            <w:gridSpan w:val="2"/>
          </w:tcPr>
          <w:p w14:paraId="2AE642ED" w14:textId="77777777" w:rsidR="00D579BC" w:rsidRDefault="00000000">
            <w:pPr>
              <w:spacing w:after="0" w:line="240" w:lineRule="auto"/>
              <w:jc w:val="both"/>
            </w:pPr>
            <w:r>
              <w:rPr>
                <w:rFonts w:ascii="맑은 고딕"/>
                <w:color w:val="000000"/>
                <w:sz w:val="20"/>
              </w:rPr>
              <w:t>53.  In fact, well-known scientists are often involving in multiple discoveries, a phenomenon potential explaining by the Matthew effect.</w:t>
            </w:r>
          </w:p>
        </w:tc>
      </w:tr>
      <w:tr w:rsidR="00D579BC" w14:paraId="19270854" w14:textId="77777777">
        <w:trPr>
          <w:trHeight w:val="75"/>
          <w:tblCellSpacing w:w="0" w:type="dxa"/>
        </w:trPr>
        <w:tc>
          <w:tcPr>
            <w:tcW w:w="0" w:type="auto"/>
            <w:gridSpan w:val="2"/>
          </w:tcPr>
          <w:p w14:paraId="14764AFA" w14:textId="77777777" w:rsidR="00D579BC" w:rsidRDefault="00000000">
            <w:pPr>
              <w:spacing w:after="0" w:line="240" w:lineRule="auto"/>
              <w:jc w:val="both"/>
            </w:pPr>
            <w:r>
              <w:rPr>
                <w:rFonts w:ascii="맑은 고딕"/>
                <w:color w:val="000000"/>
                <w:sz w:val="20"/>
              </w:rPr>
              <w:t>54.  Indeed, an initial success may offer a scientist legitimacy, improve peer perception, providing knowledge of how to score and win, enhancing social status, and attracting resources and quality collaborators, each of these payoffs further increased her odds of score another win.</w:t>
            </w:r>
          </w:p>
        </w:tc>
      </w:tr>
      <w:tr w:rsidR="00D579BC" w14:paraId="3DB16457" w14:textId="77777777">
        <w:trPr>
          <w:trHeight w:val="75"/>
          <w:tblCellSpacing w:w="0" w:type="dxa"/>
        </w:trPr>
        <w:tc>
          <w:tcPr>
            <w:tcW w:w="0" w:type="auto"/>
            <w:gridSpan w:val="2"/>
          </w:tcPr>
          <w:p w14:paraId="09773824" w14:textId="77777777" w:rsidR="00D579BC" w:rsidRDefault="00000000">
            <w:pPr>
              <w:spacing w:after="0" w:line="240" w:lineRule="auto"/>
              <w:jc w:val="both"/>
            </w:pPr>
            <w:r>
              <w:rPr>
                <w:rFonts w:ascii="맑은 고딕"/>
                <w:color w:val="000000"/>
                <w:sz w:val="20"/>
              </w:rPr>
              <w:t>55.  Yet, there is an appealing alternative explanation: Great scientists have multiple hits and consistent succeeds in their scientific endeavors simply because they're exceptional talented.</w:t>
            </w:r>
          </w:p>
        </w:tc>
      </w:tr>
      <w:tr w:rsidR="00D579BC" w14:paraId="4F5B5630" w14:textId="77777777">
        <w:trPr>
          <w:trHeight w:val="75"/>
          <w:tblCellSpacing w:w="0" w:type="dxa"/>
        </w:trPr>
        <w:tc>
          <w:tcPr>
            <w:tcW w:w="0" w:type="auto"/>
            <w:gridSpan w:val="2"/>
          </w:tcPr>
          <w:p w14:paraId="59633E56" w14:textId="77777777" w:rsidR="00D579BC" w:rsidRDefault="00000000">
            <w:pPr>
              <w:spacing w:after="0" w:line="240" w:lineRule="auto"/>
              <w:jc w:val="both"/>
            </w:pPr>
            <w:r>
              <w:rPr>
                <w:rFonts w:ascii="맑은 고딕"/>
                <w:color w:val="000000"/>
                <w:sz w:val="20"/>
              </w:rPr>
              <w:t>56.  Therefore, future success again goes to those whom has had success earlier, not because advantages offering by the previous success, but because of the earlier success was indicative of a hidden talent.</w:t>
            </w:r>
          </w:p>
        </w:tc>
      </w:tr>
      <w:tr w:rsidR="00D579BC" w14:paraId="52D1337B" w14:textId="77777777">
        <w:trPr>
          <w:trHeight w:val="75"/>
          <w:tblCellSpacing w:w="0" w:type="dxa"/>
        </w:trPr>
        <w:tc>
          <w:tcPr>
            <w:tcW w:w="0" w:type="auto"/>
            <w:gridSpan w:val="2"/>
          </w:tcPr>
          <w:p w14:paraId="7E064D52" w14:textId="77777777" w:rsidR="00D579BC" w:rsidRDefault="00000000">
            <w:pPr>
              <w:spacing w:after="0" w:line="240" w:lineRule="auto"/>
              <w:jc w:val="both"/>
            </w:pPr>
            <w:r>
              <w:rPr>
                <w:rFonts w:ascii="맑은 고딕"/>
                <w:color w:val="000000"/>
                <w:sz w:val="20"/>
              </w:rPr>
              <w:t>57.  The Matthew effect posits what success alone increase the future probability of success, raised the question:</w:t>
            </w:r>
          </w:p>
        </w:tc>
      </w:tr>
      <w:tr w:rsidR="00D579BC" w14:paraId="212A0CF0" w14:textId="77777777">
        <w:trPr>
          <w:trHeight w:val="75"/>
          <w:tblCellSpacing w:w="0" w:type="dxa"/>
        </w:trPr>
        <w:tc>
          <w:tcPr>
            <w:tcW w:w="0" w:type="auto"/>
            <w:gridSpan w:val="2"/>
          </w:tcPr>
          <w:p w14:paraId="3EB0D6B7" w14:textId="77777777" w:rsidR="00D579BC" w:rsidRDefault="00000000">
            <w:pPr>
              <w:spacing w:after="0" w:line="240" w:lineRule="auto"/>
              <w:jc w:val="both"/>
            </w:pPr>
            <w:r>
              <w:rPr>
                <w:rFonts w:ascii="맑은 고딕"/>
                <w:color w:val="000000"/>
                <w:sz w:val="20"/>
              </w:rPr>
              <w:t>58.  Does status dictate outcomes, or does it simply reflect an underlying talent or quality?</w:t>
            </w:r>
          </w:p>
        </w:tc>
      </w:tr>
      <w:tr w:rsidR="00D579BC" w14:paraId="41D20CAF" w14:textId="77777777">
        <w:trPr>
          <w:trHeight w:val="75"/>
          <w:tblCellSpacing w:w="0" w:type="dxa"/>
        </w:trPr>
        <w:tc>
          <w:tcPr>
            <w:tcW w:w="0" w:type="auto"/>
            <w:gridSpan w:val="2"/>
          </w:tcPr>
          <w:p w14:paraId="653F2096" w14:textId="77777777" w:rsidR="00D579BC" w:rsidRDefault="00000000">
            <w:pPr>
              <w:spacing w:after="0" w:line="240" w:lineRule="auto"/>
              <w:jc w:val="both"/>
            </w:pPr>
            <w:r>
              <w:rPr>
                <w:rFonts w:ascii="맑은 고딕"/>
                <w:color w:val="000000"/>
                <w:sz w:val="20"/>
              </w:rPr>
              <w:t>59.  In other words, are there really a Matthew effect after all?</w:t>
            </w:r>
          </w:p>
        </w:tc>
      </w:tr>
      <w:tr w:rsidR="00D579BC" w14:paraId="78DF9313" w14:textId="77777777">
        <w:trPr>
          <w:trHeight w:val="150"/>
          <w:tblCellSpacing w:w="0" w:type="dxa"/>
        </w:trPr>
        <w:tc>
          <w:tcPr>
            <w:tcW w:w="0" w:type="auto"/>
            <w:gridSpan w:val="2"/>
            <w:vAlign w:val="center"/>
          </w:tcPr>
          <w:p w14:paraId="323D6885" w14:textId="77777777" w:rsidR="00D579BC" w:rsidRDefault="00D579BC"/>
        </w:tc>
      </w:tr>
      <w:tr w:rsidR="00D579BC" w14:paraId="6D5C6617" w14:textId="77777777">
        <w:trPr>
          <w:trHeight w:val="375"/>
          <w:tblCellSpacing w:w="0" w:type="dxa"/>
        </w:trPr>
        <w:tc>
          <w:tcPr>
            <w:tcW w:w="0" w:type="auto"/>
            <w:gridSpan w:val="2"/>
            <w:vAlign w:val="center"/>
          </w:tcPr>
          <w:p w14:paraId="341A3B29" w14:textId="77777777" w:rsidR="00D579BC" w:rsidRDefault="00000000">
            <w:pPr>
              <w:spacing w:after="0"/>
            </w:pPr>
            <w:r>
              <w:rPr>
                <w:rFonts w:ascii="맑은 고딕"/>
                <w:color w:val="000000"/>
                <w:sz w:val="16"/>
              </w:rPr>
              <w:t>10. p6-no.33</w:t>
            </w:r>
          </w:p>
        </w:tc>
      </w:tr>
      <w:tr w:rsidR="00D579BC" w14:paraId="0BA050A4" w14:textId="77777777">
        <w:trPr>
          <w:trHeight w:val="75"/>
          <w:tblCellSpacing w:w="0" w:type="dxa"/>
        </w:trPr>
        <w:tc>
          <w:tcPr>
            <w:tcW w:w="0" w:type="auto"/>
            <w:gridSpan w:val="2"/>
          </w:tcPr>
          <w:p w14:paraId="0CC5642A" w14:textId="77777777" w:rsidR="00D579BC" w:rsidRDefault="00000000">
            <w:pPr>
              <w:spacing w:after="0" w:line="240" w:lineRule="auto"/>
              <w:jc w:val="both"/>
            </w:pPr>
            <w:r>
              <w:rPr>
                <w:rFonts w:ascii="맑은 고딕"/>
                <w:color w:val="000000"/>
                <w:sz w:val="20"/>
              </w:rPr>
              <w:t>60.  When we realize we've said something in error and we pause to go back to correct it, we stop to gesture a couple of hundred milliseconds before we stop to speak.</w:t>
            </w:r>
          </w:p>
        </w:tc>
      </w:tr>
      <w:tr w:rsidR="00D579BC" w14:paraId="2A5AB98C" w14:textId="77777777">
        <w:trPr>
          <w:trHeight w:val="75"/>
          <w:tblCellSpacing w:w="0" w:type="dxa"/>
        </w:trPr>
        <w:tc>
          <w:tcPr>
            <w:tcW w:w="0" w:type="auto"/>
            <w:gridSpan w:val="2"/>
          </w:tcPr>
          <w:p w14:paraId="20424B98" w14:textId="77777777" w:rsidR="00D579BC" w:rsidRDefault="00000000">
            <w:pPr>
              <w:spacing w:after="0" w:line="240" w:lineRule="auto"/>
              <w:jc w:val="both"/>
            </w:pPr>
            <w:r>
              <w:rPr>
                <w:rFonts w:ascii="맑은 고딕"/>
                <w:color w:val="000000"/>
                <w:sz w:val="20"/>
              </w:rPr>
              <w:t>61.  Such sequences suggest the startled notion which our hands "know" what we're going to say before our conscious minds do, and in fact this is often the case.</w:t>
            </w:r>
          </w:p>
        </w:tc>
      </w:tr>
      <w:tr w:rsidR="00D579BC" w14:paraId="3B69EFDA" w14:textId="77777777">
        <w:trPr>
          <w:trHeight w:val="75"/>
          <w:tblCellSpacing w:w="0" w:type="dxa"/>
        </w:trPr>
        <w:tc>
          <w:tcPr>
            <w:tcW w:w="0" w:type="auto"/>
            <w:gridSpan w:val="2"/>
          </w:tcPr>
          <w:p w14:paraId="758CF397" w14:textId="77777777" w:rsidR="00D579BC" w:rsidRDefault="00000000">
            <w:pPr>
              <w:spacing w:after="0" w:line="240" w:lineRule="auto"/>
              <w:jc w:val="both"/>
            </w:pPr>
            <w:r>
              <w:rPr>
                <w:rFonts w:ascii="맑은 고딕"/>
                <w:color w:val="000000"/>
                <w:sz w:val="20"/>
              </w:rPr>
              <w:t>62.  Gesture can mental prime a word so what the right term comes to our lips.</w:t>
            </w:r>
          </w:p>
        </w:tc>
      </w:tr>
      <w:tr w:rsidR="00D579BC" w14:paraId="671DB826" w14:textId="77777777">
        <w:trPr>
          <w:trHeight w:val="75"/>
          <w:tblCellSpacing w:w="0" w:type="dxa"/>
        </w:trPr>
        <w:tc>
          <w:tcPr>
            <w:tcW w:w="0" w:type="auto"/>
            <w:gridSpan w:val="2"/>
          </w:tcPr>
          <w:p w14:paraId="6A234BBE" w14:textId="77777777" w:rsidR="00D579BC" w:rsidRDefault="00000000">
            <w:pPr>
              <w:spacing w:after="0" w:line="240" w:lineRule="auto"/>
              <w:jc w:val="both"/>
            </w:pPr>
            <w:r>
              <w:rPr>
                <w:rFonts w:ascii="맑은 고딕"/>
                <w:color w:val="000000"/>
                <w:sz w:val="20"/>
              </w:rPr>
              <w:t>63.  When people prevent to gesture, they talk less fluent; their speech becomes halting because their hands are no longer able to supply them with the next word, and the next.</w:t>
            </w:r>
          </w:p>
        </w:tc>
      </w:tr>
      <w:tr w:rsidR="00D579BC" w14:paraId="642C9A85" w14:textId="77777777">
        <w:trPr>
          <w:trHeight w:val="75"/>
          <w:tblCellSpacing w:w="0" w:type="dxa"/>
        </w:trPr>
        <w:tc>
          <w:tcPr>
            <w:tcW w:w="0" w:type="auto"/>
            <w:gridSpan w:val="2"/>
          </w:tcPr>
          <w:p w14:paraId="7A2E7ADE" w14:textId="77777777" w:rsidR="00D579BC" w:rsidRDefault="00000000">
            <w:pPr>
              <w:spacing w:after="0" w:line="240" w:lineRule="auto"/>
              <w:jc w:val="both"/>
            </w:pPr>
            <w:r>
              <w:rPr>
                <w:rFonts w:ascii="맑은 고딕"/>
                <w:color w:val="000000"/>
                <w:sz w:val="20"/>
              </w:rPr>
              <w:t xml:space="preserve">64.  Not be able to gesture have other deleterious effects: without gesture to help our mental </w:t>
            </w:r>
            <w:r>
              <w:rPr>
                <w:rFonts w:ascii="맑은 고딕"/>
                <w:color w:val="000000"/>
                <w:sz w:val="20"/>
              </w:rPr>
              <w:lastRenderedPageBreak/>
              <w:t>processes along, we remember less useful information, we solve problems less well, and we are less able to explain our thinking.</w:t>
            </w:r>
          </w:p>
        </w:tc>
      </w:tr>
      <w:tr w:rsidR="00D579BC" w14:paraId="525634AE" w14:textId="77777777">
        <w:trPr>
          <w:trHeight w:val="75"/>
          <w:tblCellSpacing w:w="0" w:type="dxa"/>
        </w:trPr>
        <w:tc>
          <w:tcPr>
            <w:tcW w:w="0" w:type="auto"/>
            <w:gridSpan w:val="2"/>
          </w:tcPr>
          <w:p w14:paraId="1E30D488" w14:textId="77777777" w:rsidR="00D579BC" w:rsidRDefault="00000000">
            <w:pPr>
              <w:spacing w:after="0" w:line="240" w:lineRule="auto"/>
              <w:jc w:val="both"/>
            </w:pPr>
            <w:r>
              <w:rPr>
                <w:rFonts w:ascii="맑은 고딕"/>
                <w:color w:val="000000"/>
                <w:sz w:val="20"/>
              </w:rPr>
              <w:lastRenderedPageBreak/>
              <w:t>65.  Far from tag along as speech's clumsy companion, gesture represents the leading edge of our thought.</w:t>
            </w:r>
          </w:p>
        </w:tc>
      </w:tr>
      <w:tr w:rsidR="00D579BC" w14:paraId="567665C1" w14:textId="77777777">
        <w:trPr>
          <w:trHeight w:val="150"/>
          <w:tblCellSpacing w:w="0" w:type="dxa"/>
        </w:trPr>
        <w:tc>
          <w:tcPr>
            <w:tcW w:w="0" w:type="auto"/>
            <w:gridSpan w:val="2"/>
            <w:vAlign w:val="center"/>
          </w:tcPr>
          <w:p w14:paraId="502FD7CB" w14:textId="77777777" w:rsidR="00D579BC" w:rsidRDefault="00D579BC"/>
        </w:tc>
      </w:tr>
      <w:tr w:rsidR="00D579BC" w14:paraId="54F9AB1A" w14:textId="77777777">
        <w:trPr>
          <w:trHeight w:val="375"/>
          <w:tblCellSpacing w:w="0" w:type="dxa"/>
        </w:trPr>
        <w:tc>
          <w:tcPr>
            <w:tcW w:w="0" w:type="auto"/>
            <w:gridSpan w:val="2"/>
            <w:vAlign w:val="center"/>
          </w:tcPr>
          <w:p w14:paraId="172A833E" w14:textId="77777777" w:rsidR="00D579BC" w:rsidRDefault="00000000">
            <w:pPr>
              <w:spacing w:after="0"/>
            </w:pPr>
            <w:r>
              <w:rPr>
                <w:rFonts w:ascii="맑은 고딕"/>
                <w:color w:val="000000"/>
                <w:sz w:val="16"/>
              </w:rPr>
              <w:t>11. p6-no.34</w:t>
            </w:r>
          </w:p>
        </w:tc>
      </w:tr>
      <w:tr w:rsidR="00D579BC" w14:paraId="0EEF8F9F" w14:textId="77777777">
        <w:trPr>
          <w:trHeight w:val="75"/>
          <w:tblCellSpacing w:w="0" w:type="dxa"/>
        </w:trPr>
        <w:tc>
          <w:tcPr>
            <w:tcW w:w="0" w:type="auto"/>
            <w:gridSpan w:val="2"/>
          </w:tcPr>
          <w:p w14:paraId="0925EC86" w14:textId="77777777" w:rsidR="00D579BC" w:rsidRDefault="00000000">
            <w:pPr>
              <w:spacing w:after="0" w:line="240" w:lineRule="auto"/>
              <w:jc w:val="both"/>
            </w:pPr>
            <w:r>
              <w:rPr>
                <w:rFonts w:ascii="맑은 고딕"/>
                <w:color w:val="000000"/>
                <w:sz w:val="20"/>
              </w:rPr>
              <w:t>66.  Despite the difference between the past and the future, between that has been happened and that is to come, it can suggest, what our sense of the past have always influenced by our view of the future.</w:t>
            </w:r>
          </w:p>
        </w:tc>
      </w:tr>
      <w:tr w:rsidR="00D579BC" w14:paraId="2E62218E" w14:textId="77777777">
        <w:trPr>
          <w:trHeight w:val="75"/>
          <w:tblCellSpacing w:w="0" w:type="dxa"/>
        </w:trPr>
        <w:tc>
          <w:tcPr>
            <w:tcW w:w="0" w:type="auto"/>
            <w:gridSpan w:val="2"/>
          </w:tcPr>
          <w:p w14:paraId="1765906B" w14:textId="77777777" w:rsidR="00D579BC" w:rsidRDefault="00000000">
            <w:pPr>
              <w:spacing w:after="0" w:line="240" w:lineRule="auto"/>
              <w:jc w:val="both"/>
            </w:pPr>
            <w:r>
              <w:rPr>
                <w:rFonts w:ascii="맑은 고딕"/>
                <w:color w:val="000000"/>
                <w:sz w:val="20"/>
              </w:rPr>
              <w:t>67.  Revolutionaries have always been looked to the past to frame their future cause, as are amply illustrating by examples from nationalism to communism.</w:t>
            </w:r>
          </w:p>
        </w:tc>
      </w:tr>
      <w:tr w:rsidR="00D579BC" w14:paraId="7F2C02CF" w14:textId="77777777">
        <w:trPr>
          <w:trHeight w:val="75"/>
          <w:tblCellSpacing w:w="0" w:type="dxa"/>
        </w:trPr>
        <w:tc>
          <w:tcPr>
            <w:tcW w:w="0" w:type="auto"/>
            <w:gridSpan w:val="2"/>
          </w:tcPr>
          <w:p w14:paraId="05ADFF69" w14:textId="77777777" w:rsidR="00D579BC" w:rsidRDefault="00000000">
            <w:pPr>
              <w:spacing w:after="0" w:line="240" w:lineRule="auto"/>
              <w:jc w:val="both"/>
            </w:pPr>
            <w:r>
              <w:rPr>
                <w:rFonts w:ascii="맑은 고딕"/>
                <w:color w:val="000000"/>
                <w:sz w:val="20"/>
              </w:rPr>
              <w:t>68.  The future has often seen as various a recovery of a lost time, as a replication of that establishes, or as a model bequeathing by a heroic age long gone.</w:t>
            </w:r>
          </w:p>
        </w:tc>
      </w:tr>
      <w:tr w:rsidR="00D579BC" w14:paraId="54C647DC" w14:textId="77777777">
        <w:trPr>
          <w:trHeight w:val="75"/>
          <w:tblCellSpacing w:w="0" w:type="dxa"/>
        </w:trPr>
        <w:tc>
          <w:tcPr>
            <w:tcW w:w="0" w:type="auto"/>
            <w:gridSpan w:val="2"/>
          </w:tcPr>
          <w:p w14:paraId="5674AAB8" w14:textId="77777777" w:rsidR="00D579BC" w:rsidRDefault="00000000">
            <w:pPr>
              <w:spacing w:after="0" w:line="240" w:lineRule="auto"/>
              <w:jc w:val="both"/>
            </w:pPr>
            <w:r>
              <w:rPr>
                <w:rFonts w:ascii="맑은 고딕"/>
                <w:color w:val="000000"/>
                <w:sz w:val="20"/>
              </w:rPr>
              <w:t>69.  The writing of history are based on understand or explain future outcomes what was not knowing to contemporaries, since the historian has the benefit of hindsight and the past is nothing more than the accumulation of futures what is now our past.</w:t>
            </w:r>
          </w:p>
        </w:tc>
      </w:tr>
      <w:tr w:rsidR="00D579BC" w14:paraId="31E2628A" w14:textId="77777777">
        <w:trPr>
          <w:trHeight w:val="75"/>
          <w:tblCellSpacing w:w="0" w:type="dxa"/>
        </w:trPr>
        <w:tc>
          <w:tcPr>
            <w:tcW w:w="0" w:type="auto"/>
            <w:gridSpan w:val="2"/>
          </w:tcPr>
          <w:p w14:paraId="55BF95CB" w14:textId="77777777" w:rsidR="00D579BC" w:rsidRDefault="00000000">
            <w:pPr>
              <w:spacing w:after="0" w:line="240" w:lineRule="auto"/>
              <w:jc w:val="both"/>
            </w:pPr>
            <w:r>
              <w:rPr>
                <w:rFonts w:ascii="맑은 고딕"/>
                <w:color w:val="000000"/>
                <w:sz w:val="20"/>
              </w:rPr>
              <w:t>70.  So, rather than see the hand of the past always to shape the future, perhaps it can see in reverse, with the past ─ in the sense of our understanding of it ─ shaping by our orientation to the future.</w:t>
            </w:r>
          </w:p>
        </w:tc>
      </w:tr>
      <w:tr w:rsidR="00D579BC" w14:paraId="5B63808D" w14:textId="77777777">
        <w:trPr>
          <w:trHeight w:val="150"/>
          <w:tblCellSpacing w:w="0" w:type="dxa"/>
        </w:trPr>
        <w:tc>
          <w:tcPr>
            <w:tcW w:w="0" w:type="auto"/>
            <w:gridSpan w:val="2"/>
            <w:vAlign w:val="center"/>
          </w:tcPr>
          <w:p w14:paraId="54EB2126" w14:textId="77777777" w:rsidR="00D579BC" w:rsidRDefault="00D579BC"/>
        </w:tc>
      </w:tr>
      <w:tr w:rsidR="00D579BC" w14:paraId="3942FB3C" w14:textId="77777777">
        <w:trPr>
          <w:trHeight w:val="375"/>
          <w:tblCellSpacing w:w="0" w:type="dxa"/>
        </w:trPr>
        <w:tc>
          <w:tcPr>
            <w:tcW w:w="0" w:type="auto"/>
            <w:gridSpan w:val="2"/>
            <w:vAlign w:val="center"/>
          </w:tcPr>
          <w:p w14:paraId="13478195" w14:textId="77777777" w:rsidR="00D579BC" w:rsidRDefault="00000000">
            <w:pPr>
              <w:spacing w:after="0"/>
            </w:pPr>
            <w:r>
              <w:rPr>
                <w:rFonts w:ascii="맑은 고딕"/>
                <w:color w:val="000000"/>
                <w:sz w:val="16"/>
              </w:rPr>
              <w:t>12. p6-no.35</w:t>
            </w:r>
          </w:p>
        </w:tc>
      </w:tr>
      <w:tr w:rsidR="00D579BC" w14:paraId="5BD6648D" w14:textId="77777777">
        <w:trPr>
          <w:trHeight w:val="75"/>
          <w:tblCellSpacing w:w="0" w:type="dxa"/>
        </w:trPr>
        <w:tc>
          <w:tcPr>
            <w:tcW w:w="0" w:type="auto"/>
            <w:gridSpan w:val="2"/>
          </w:tcPr>
          <w:p w14:paraId="59ACF8EC" w14:textId="77777777" w:rsidR="00D579BC" w:rsidRDefault="00000000">
            <w:pPr>
              <w:spacing w:after="0" w:line="240" w:lineRule="auto"/>
              <w:jc w:val="both"/>
            </w:pPr>
            <w:r>
              <w:rPr>
                <w:rFonts w:ascii="맑은 고딕"/>
                <w:color w:val="000000"/>
                <w:sz w:val="20"/>
              </w:rPr>
              <w:t>71.  Dictionaries are relative good resources for anyone interesting in find out how a word means.</w:t>
            </w:r>
          </w:p>
        </w:tc>
      </w:tr>
      <w:tr w:rsidR="00D579BC" w14:paraId="04895FAE" w14:textId="77777777">
        <w:trPr>
          <w:trHeight w:val="75"/>
          <w:tblCellSpacing w:w="0" w:type="dxa"/>
        </w:trPr>
        <w:tc>
          <w:tcPr>
            <w:tcW w:w="0" w:type="auto"/>
            <w:gridSpan w:val="2"/>
          </w:tcPr>
          <w:p w14:paraId="4ADC67DD" w14:textId="77777777" w:rsidR="00D579BC" w:rsidRDefault="00000000">
            <w:pPr>
              <w:spacing w:after="0" w:line="240" w:lineRule="auto"/>
              <w:jc w:val="both"/>
            </w:pPr>
            <w:r>
              <w:rPr>
                <w:rFonts w:ascii="맑은 고딕"/>
                <w:color w:val="000000"/>
                <w:sz w:val="20"/>
              </w:rPr>
              <w:t>72.  Use one set of words to define another word are calling a lexical definition.</w:t>
            </w:r>
          </w:p>
        </w:tc>
      </w:tr>
      <w:tr w:rsidR="00D579BC" w14:paraId="181AFA08" w14:textId="77777777">
        <w:trPr>
          <w:trHeight w:val="75"/>
          <w:tblCellSpacing w:w="0" w:type="dxa"/>
        </w:trPr>
        <w:tc>
          <w:tcPr>
            <w:tcW w:w="0" w:type="auto"/>
            <w:gridSpan w:val="2"/>
          </w:tcPr>
          <w:p w14:paraId="25285A3F" w14:textId="77777777" w:rsidR="00D579BC" w:rsidRDefault="00000000">
            <w:pPr>
              <w:spacing w:after="0" w:line="240" w:lineRule="auto"/>
              <w:jc w:val="both"/>
            </w:pPr>
            <w:r>
              <w:rPr>
                <w:rFonts w:ascii="맑은 고딕"/>
                <w:color w:val="000000"/>
                <w:sz w:val="20"/>
              </w:rPr>
              <w:t>73.  But it's important understanding the limits of dictionary definitions.</w:t>
            </w:r>
          </w:p>
        </w:tc>
      </w:tr>
      <w:tr w:rsidR="00D579BC" w14:paraId="5E7968D9" w14:textId="77777777">
        <w:trPr>
          <w:trHeight w:val="75"/>
          <w:tblCellSpacing w:w="0" w:type="dxa"/>
        </w:trPr>
        <w:tc>
          <w:tcPr>
            <w:tcW w:w="0" w:type="auto"/>
            <w:gridSpan w:val="2"/>
          </w:tcPr>
          <w:p w14:paraId="5DF6C1E5" w14:textId="77777777" w:rsidR="00D579BC" w:rsidRDefault="00000000">
            <w:pPr>
              <w:spacing w:after="0" w:line="240" w:lineRule="auto"/>
              <w:jc w:val="both"/>
            </w:pPr>
            <w:r>
              <w:rPr>
                <w:rFonts w:ascii="맑은 고딕"/>
                <w:color w:val="000000"/>
                <w:sz w:val="20"/>
              </w:rPr>
              <w:t>74.  More often than not, a definition in a dictionary require readers having a fair robust understanding of the language already at their disposal.</w:t>
            </w:r>
          </w:p>
        </w:tc>
      </w:tr>
      <w:tr w:rsidR="00D579BC" w14:paraId="1FAD2F45" w14:textId="77777777">
        <w:trPr>
          <w:trHeight w:val="75"/>
          <w:tblCellSpacing w:w="0" w:type="dxa"/>
        </w:trPr>
        <w:tc>
          <w:tcPr>
            <w:tcW w:w="0" w:type="auto"/>
            <w:gridSpan w:val="2"/>
          </w:tcPr>
          <w:p w14:paraId="72B833EE" w14:textId="77777777" w:rsidR="00D579BC" w:rsidRDefault="00000000">
            <w:pPr>
              <w:spacing w:after="0" w:line="240" w:lineRule="auto"/>
              <w:jc w:val="both"/>
            </w:pPr>
            <w:r>
              <w:rPr>
                <w:rFonts w:ascii="맑은 고딕"/>
                <w:color w:val="000000"/>
                <w:sz w:val="20"/>
              </w:rPr>
              <w:t>75.  In other words, a dictionary is functioned in many cases as a cross-reference or translator between words one knows and words what one doesn't yet know.</w:t>
            </w:r>
          </w:p>
        </w:tc>
      </w:tr>
      <w:tr w:rsidR="00D579BC" w14:paraId="2986B0B9" w14:textId="77777777">
        <w:trPr>
          <w:trHeight w:val="75"/>
          <w:tblCellSpacing w:w="0" w:type="dxa"/>
        </w:trPr>
        <w:tc>
          <w:tcPr>
            <w:tcW w:w="0" w:type="auto"/>
            <w:gridSpan w:val="2"/>
          </w:tcPr>
          <w:p w14:paraId="51FB1CA4" w14:textId="77777777" w:rsidR="00D579BC" w:rsidRDefault="00000000">
            <w:pPr>
              <w:spacing w:after="0" w:line="240" w:lineRule="auto"/>
              <w:jc w:val="both"/>
            </w:pPr>
            <w:r>
              <w:rPr>
                <w:rFonts w:ascii="맑은 고딕"/>
                <w:color w:val="000000"/>
                <w:sz w:val="20"/>
              </w:rPr>
              <w:t>76.  Even the most obscure words in a dictionary, say, for example, "pulchritudinous" or "kalokagathia," must define used words what the reader already knows and understanding.</w:t>
            </w:r>
          </w:p>
        </w:tc>
      </w:tr>
      <w:tr w:rsidR="00D579BC" w14:paraId="5526A4E1" w14:textId="77777777">
        <w:trPr>
          <w:trHeight w:val="75"/>
          <w:tblCellSpacing w:w="0" w:type="dxa"/>
        </w:trPr>
        <w:tc>
          <w:tcPr>
            <w:tcW w:w="0" w:type="auto"/>
            <w:gridSpan w:val="2"/>
          </w:tcPr>
          <w:p w14:paraId="2F366753" w14:textId="77777777" w:rsidR="00D579BC" w:rsidRDefault="00000000">
            <w:pPr>
              <w:spacing w:after="0" w:line="240" w:lineRule="auto"/>
              <w:jc w:val="both"/>
            </w:pPr>
            <w:r>
              <w:rPr>
                <w:rFonts w:ascii="맑은 고딕"/>
                <w:color w:val="000000"/>
                <w:sz w:val="20"/>
              </w:rPr>
              <w:t>77.  Otherwise, the dictionary isn't very helpful.</w:t>
            </w:r>
          </w:p>
        </w:tc>
      </w:tr>
      <w:tr w:rsidR="00D579BC" w14:paraId="27373FD0" w14:textId="77777777">
        <w:trPr>
          <w:trHeight w:val="150"/>
          <w:tblCellSpacing w:w="0" w:type="dxa"/>
        </w:trPr>
        <w:tc>
          <w:tcPr>
            <w:tcW w:w="0" w:type="auto"/>
            <w:gridSpan w:val="2"/>
            <w:vAlign w:val="center"/>
          </w:tcPr>
          <w:p w14:paraId="469041C0" w14:textId="77777777" w:rsidR="00D579BC" w:rsidRDefault="00D579BC"/>
        </w:tc>
      </w:tr>
      <w:tr w:rsidR="00D579BC" w14:paraId="156B63BC" w14:textId="77777777">
        <w:trPr>
          <w:trHeight w:val="375"/>
          <w:tblCellSpacing w:w="0" w:type="dxa"/>
        </w:trPr>
        <w:tc>
          <w:tcPr>
            <w:tcW w:w="0" w:type="auto"/>
            <w:gridSpan w:val="2"/>
            <w:vAlign w:val="center"/>
          </w:tcPr>
          <w:p w14:paraId="0D97D8F8" w14:textId="77777777" w:rsidR="00D579BC" w:rsidRDefault="00000000">
            <w:pPr>
              <w:spacing w:after="0"/>
            </w:pPr>
            <w:r>
              <w:rPr>
                <w:rFonts w:ascii="맑은 고딕"/>
                <w:color w:val="000000"/>
                <w:sz w:val="16"/>
              </w:rPr>
              <w:t>13. p6-no.36</w:t>
            </w:r>
          </w:p>
        </w:tc>
      </w:tr>
      <w:tr w:rsidR="00D579BC" w14:paraId="0131B3D9" w14:textId="77777777">
        <w:trPr>
          <w:trHeight w:val="75"/>
          <w:tblCellSpacing w:w="0" w:type="dxa"/>
        </w:trPr>
        <w:tc>
          <w:tcPr>
            <w:tcW w:w="0" w:type="auto"/>
            <w:gridSpan w:val="2"/>
          </w:tcPr>
          <w:p w14:paraId="53DDDB44" w14:textId="77777777" w:rsidR="00D579BC" w:rsidRDefault="00000000">
            <w:pPr>
              <w:spacing w:after="0" w:line="240" w:lineRule="auto"/>
              <w:jc w:val="both"/>
            </w:pPr>
            <w:r>
              <w:rPr>
                <w:rFonts w:ascii="맑은 고딕"/>
                <w:color w:val="000000"/>
                <w:sz w:val="20"/>
              </w:rPr>
              <w:t>78.  The governments of virtual every country on the planet attaches great importance to achieve food security and a wide variety of mechanisms has developed to realize this goal.</w:t>
            </w:r>
          </w:p>
        </w:tc>
      </w:tr>
      <w:tr w:rsidR="00D579BC" w14:paraId="5C61E9A2" w14:textId="77777777">
        <w:trPr>
          <w:trHeight w:val="75"/>
          <w:tblCellSpacing w:w="0" w:type="dxa"/>
        </w:trPr>
        <w:tc>
          <w:tcPr>
            <w:tcW w:w="0" w:type="auto"/>
            <w:gridSpan w:val="2"/>
          </w:tcPr>
          <w:p w14:paraId="6ACD2DC6" w14:textId="77777777" w:rsidR="00D579BC" w:rsidRDefault="00000000">
            <w:pPr>
              <w:spacing w:after="0" w:line="240" w:lineRule="auto"/>
              <w:jc w:val="both"/>
            </w:pPr>
            <w:r>
              <w:rPr>
                <w:rFonts w:ascii="맑은 고딕"/>
                <w:color w:val="000000"/>
                <w:sz w:val="20"/>
              </w:rPr>
              <w:t>79.  The first issue governments face in achieve national food security are the problem of insure what adequate amounts of food is available to the resident population.</w:t>
            </w:r>
          </w:p>
        </w:tc>
      </w:tr>
      <w:tr w:rsidR="00D579BC" w14:paraId="25BB8CC8" w14:textId="77777777">
        <w:trPr>
          <w:trHeight w:val="75"/>
          <w:tblCellSpacing w:w="0" w:type="dxa"/>
        </w:trPr>
        <w:tc>
          <w:tcPr>
            <w:tcW w:w="0" w:type="auto"/>
            <w:gridSpan w:val="2"/>
          </w:tcPr>
          <w:p w14:paraId="334CD607" w14:textId="77777777" w:rsidR="00D579BC" w:rsidRDefault="00000000">
            <w:pPr>
              <w:spacing w:after="0" w:line="240" w:lineRule="auto"/>
              <w:jc w:val="both"/>
            </w:pPr>
            <w:r>
              <w:rPr>
                <w:rFonts w:ascii="맑은 고딕"/>
                <w:color w:val="000000"/>
                <w:sz w:val="20"/>
              </w:rPr>
              <w:lastRenderedPageBreak/>
              <w:t>80.  Some governments have set goals of food self-sufficiency, that mean most if not all of the food available in a country come from the domestic farming system.</w:t>
            </w:r>
          </w:p>
        </w:tc>
      </w:tr>
      <w:tr w:rsidR="00D579BC" w14:paraId="5CFEAC42" w14:textId="77777777">
        <w:trPr>
          <w:trHeight w:val="75"/>
          <w:tblCellSpacing w:w="0" w:type="dxa"/>
        </w:trPr>
        <w:tc>
          <w:tcPr>
            <w:tcW w:w="0" w:type="auto"/>
            <w:gridSpan w:val="2"/>
          </w:tcPr>
          <w:p w14:paraId="27149E03" w14:textId="77777777" w:rsidR="00D579BC" w:rsidRDefault="00000000">
            <w:pPr>
              <w:spacing w:after="0" w:line="240" w:lineRule="auto"/>
              <w:jc w:val="both"/>
            </w:pPr>
            <w:r>
              <w:rPr>
                <w:rFonts w:ascii="맑은 고딕"/>
                <w:color w:val="000000"/>
                <w:sz w:val="20"/>
              </w:rPr>
              <w:t>81.  However, food security does not require food self-sufficiency because countries can import food items not easy producing within the country.</w:t>
            </w:r>
          </w:p>
        </w:tc>
      </w:tr>
      <w:tr w:rsidR="00D579BC" w14:paraId="32FFEF79" w14:textId="77777777">
        <w:trPr>
          <w:trHeight w:val="75"/>
          <w:tblCellSpacing w:w="0" w:type="dxa"/>
        </w:trPr>
        <w:tc>
          <w:tcPr>
            <w:tcW w:w="0" w:type="auto"/>
            <w:gridSpan w:val="2"/>
          </w:tcPr>
          <w:p w14:paraId="312351A5" w14:textId="77777777" w:rsidR="00D579BC" w:rsidRDefault="00000000">
            <w:pPr>
              <w:spacing w:after="0" w:line="240" w:lineRule="auto"/>
              <w:jc w:val="both"/>
            </w:pPr>
            <w:r>
              <w:rPr>
                <w:rFonts w:ascii="맑은 고딕"/>
                <w:color w:val="000000"/>
                <w:sz w:val="20"/>
              </w:rPr>
              <w:t>82.  Agricultural products are, after all, high sensitive to climatic, soil and other conditions what tends to vary around the world.</w:t>
            </w:r>
          </w:p>
        </w:tc>
      </w:tr>
      <w:tr w:rsidR="00D579BC" w14:paraId="5D174529" w14:textId="77777777">
        <w:trPr>
          <w:trHeight w:val="75"/>
          <w:tblCellSpacing w:w="0" w:type="dxa"/>
        </w:trPr>
        <w:tc>
          <w:tcPr>
            <w:tcW w:w="0" w:type="auto"/>
            <w:gridSpan w:val="2"/>
          </w:tcPr>
          <w:p w14:paraId="1F92C834" w14:textId="77777777" w:rsidR="00D579BC" w:rsidRDefault="00000000">
            <w:pPr>
              <w:spacing w:after="0" w:line="240" w:lineRule="auto"/>
              <w:jc w:val="both"/>
            </w:pPr>
            <w:r>
              <w:rPr>
                <w:rFonts w:ascii="맑은 고딕"/>
                <w:color w:val="000000"/>
                <w:sz w:val="20"/>
              </w:rPr>
              <w:t>83.  Even countries with extreme productive agricultural sectors is not fully self-sufficient in all food items.</w:t>
            </w:r>
          </w:p>
        </w:tc>
      </w:tr>
      <w:tr w:rsidR="00D579BC" w14:paraId="058313BF" w14:textId="77777777">
        <w:trPr>
          <w:trHeight w:val="75"/>
          <w:tblCellSpacing w:w="0" w:type="dxa"/>
        </w:trPr>
        <w:tc>
          <w:tcPr>
            <w:tcW w:w="0" w:type="auto"/>
            <w:gridSpan w:val="2"/>
          </w:tcPr>
          <w:p w14:paraId="60C520AA" w14:textId="77777777" w:rsidR="00D579BC" w:rsidRDefault="00000000">
            <w:pPr>
              <w:spacing w:after="0" w:line="240" w:lineRule="auto"/>
              <w:jc w:val="both"/>
            </w:pPr>
            <w:r>
              <w:rPr>
                <w:rFonts w:ascii="맑은 고딕"/>
                <w:color w:val="000000"/>
                <w:sz w:val="20"/>
              </w:rPr>
              <w:t>84.  The United States, for example, depend on imports for its supply of coffee, tea, bananas and other tropical products.</w:t>
            </w:r>
          </w:p>
        </w:tc>
      </w:tr>
      <w:tr w:rsidR="00D579BC" w14:paraId="5FA43818" w14:textId="77777777">
        <w:trPr>
          <w:trHeight w:val="75"/>
          <w:tblCellSpacing w:w="0" w:type="dxa"/>
        </w:trPr>
        <w:tc>
          <w:tcPr>
            <w:tcW w:w="0" w:type="auto"/>
            <w:gridSpan w:val="2"/>
          </w:tcPr>
          <w:p w14:paraId="10992EC7" w14:textId="77777777" w:rsidR="00D579BC" w:rsidRDefault="00000000">
            <w:pPr>
              <w:spacing w:after="0" w:line="240" w:lineRule="auto"/>
              <w:jc w:val="both"/>
            </w:pPr>
            <w:r>
              <w:rPr>
                <w:rFonts w:ascii="맑은 고딕"/>
                <w:color w:val="000000"/>
                <w:sz w:val="20"/>
              </w:rPr>
              <w:t>85.  In general, the problem of assure adequate food supplies are solving by rely on both domestic production and imports.</w:t>
            </w:r>
          </w:p>
        </w:tc>
      </w:tr>
      <w:tr w:rsidR="00D579BC" w14:paraId="0368A6E9" w14:textId="77777777">
        <w:trPr>
          <w:trHeight w:val="150"/>
          <w:tblCellSpacing w:w="0" w:type="dxa"/>
        </w:trPr>
        <w:tc>
          <w:tcPr>
            <w:tcW w:w="0" w:type="auto"/>
            <w:gridSpan w:val="2"/>
            <w:vAlign w:val="center"/>
          </w:tcPr>
          <w:p w14:paraId="3A08EC93" w14:textId="77777777" w:rsidR="00D579BC" w:rsidRDefault="00D579BC"/>
        </w:tc>
      </w:tr>
      <w:tr w:rsidR="00D579BC" w14:paraId="57CC2473" w14:textId="77777777">
        <w:trPr>
          <w:trHeight w:val="375"/>
          <w:tblCellSpacing w:w="0" w:type="dxa"/>
        </w:trPr>
        <w:tc>
          <w:tcPr>
            <w:tcW w:w="0" w:type="auto"/>
            <w:gridSpan w:val="2"/>
            <w:vAlign w:val="center"/>
          </w:tcPr>
          <w:p w14:paraId="60D7F483" w14:textId="77777777" w:rsidR="00D579BC" w:rsidRDefault="00000000">
            <w:pPr>
              <w:spacing w:after="0"/>
            </w:pPr>
            <w:r>
              <w:rPr>
                <w:rFonts w:ascii="맑은 고딕"/>
                <w:color w:val="000000"/>
                <w:sz w:val="16"/>
              </w:rPr>
              <w:t>14. p7-no.37</w:t>
            </w:r>
          </w:p>
        </w:tc>
      </w:tr>
      <w:tr w:rsidR="00D579BC" w14:paraId="6DCD26EA" w14:textId="77777777">
        <w:trPr>
          <w:trHeight w:val="75"/>
          <w:tblCellSpacing w:w="0" w:type="dxa"/>
        </w:trPr>
        <w:tc>
          <w:tcPr>
            <w:tcW w:w="0" w:type="auto"/>
            <w:gridSpan w:val="2"/>
          </w:tcPr>
          <w:p w14:paraId="4D9F27F8" w14:textId="77777777" w:rsidR="00D579BC" w:rsidRDefault="00000000">
            <w:pPr>
              <w:spacing w:after="0" w:line="240" w:lineRule="auto"/>
              <w:jc w:val="both"/>
            </w:pPr>
            <w:r>
              <w:rPr>
                <w:rFonts w:ascii="맑은 고딕"/>
                <w:color w:val="000000"/>
                <w:sz w:val="20"/>
              </w:rPr>
              <w:t>86.  Stress not only affect physical disease but also the very structure of our brains, made us very more likely to experience a drained brain.</w:t>
            </w:r>
          </w:p>
        </w:tc>
      </w:tr>
      <w:tr w:rsidR="00D579BC" w14:paraId="1F77974D" w14:textId="77777777">
        <w:trPr>
          <w:trHeight w:val="75"/>
          <w:tblCellSpacing w:w="0" w:type="dxa"/>
        </w:trPr>
        <w:tc>
          <w:tcPr>
            <w:tcW w:w="0" w:type="auto"/>
            <w:gridSpan w:val="2"/>
          </w:tcPr>
          <w:p w14:paraId="725AC655" w14:textId="77777777" w:rsidR="00D579BC" w:rsidRDefault="00000000">
            <w:pPr>
              <w:spacing w:after="0" w:line="240" w:lineRule="auto"/>
              <w:jc w:val="both"/>
            </w:pPr>
            <w:r>
              <w:rPr>
                <w:rFonts w:ascii="맑은 고딕"/>
                <w:color w:val="000000"/>
                <w:sz w:val="20"/>
              </w:rPr>
              <w:t>87.  A number of studies has done to reveal that is happened in healthy people's brains when they go through stressful something.</w:t>
            </w:r>
          </w:p>
        </w:tc>
      </w:tr>
      <w:tr w:rsidR="00D579BC" w14:paraId="39290E19" w14:textId="77777777">
        <w:trPr>
          <w:trHeight w:val="75"/>
          <w:tblCellSpacing w:w="0" w:type="dxa"/>
        </w:trPr>
        <w:tc>
          <w:tcPr>
            <w:tcW w:w="0" w:type="auto"/>
            <w:gridSpan w:val="2"/>
          </w:tcPr>
          <w:p w14:paraId="49F43884" w14:textId="77777777" w:rsidR="00D579BC" w:rsidRDefault="00000000">
            <w:pPr>
              <w:spacing w:after="0" w:line="240" w:lineRule="auto"/>
              <w:jc w:val="both"/>
            </w:pPr>
            <w:r>
              <w:rPr>
                <w:rFonts w:ascii="맑은 고딕"/>
                <w:color w:val="000000"/>
                <w:sz w:val="20"/>
              </w:rPr>
              <w:t>88.  One study demonstrated a link between a smaller hippocampus and people whom had been experienced long-lasting stress.</w:t>
            </w:r>
          </w:p>
        </w:tc>
      </w:tr>
      <w:tr w:rsidR="00D579BC" w14:paraId="096AA4A2" w14:textId="77777777">
        <w:trPr>
          <w:trHeight w:val="75"/>
          <w:tblCellSpacing w:w="0" w:type="dxa"/>
        </w:trPr>
        <w:tc>
          <w:tcPr>
            <w:tcW w:w="0" w:type="auto"/>
            <w:gridSpan w:val="2"/>
          </w:tcPr>
          <w:p w14:paraId="770EAF5E" w14:textId="77777777" w:rsidR="00D579BC" w:rsidRDefault="00000000">
            <w:pPr>
              <w:spacing w:after="0" w:line="240" w:lineRule="auto"/>
              <w:jc w:val="both"/>
            </w:pPr>
            <w:r>
              <w:rPr>
                <w:rFonts w:ascii="맑은 고딕"/>
                <w:color w:val="000000"/>
                <w:sz w:val="20"/>
              </w:rPr>
              <w:t>89.  Why does this matter?</w:t>
            </w:r>
          </w:p>
        </w:tc>
      </w:tr>
      <w:tr w:rsidR="00D579BC" w14:paraId="726CE76C" w14:textId="77777777">
        <w:trPr>
          <w:trHeight w:val="75"/>
          <w:tblCellSpacing w:w="0" w:type="dxa"/>
        </w:trPr>
        <w:tc>
          <w:tcPr>
            <w:tcW w:w="0" w:type="auto"/>
            <w:gridSpan w:val="2"/>
          </w:tcPr>
          <w:p w14:paraId="5B3A9B83" w14:textId="77777777" w:rsidR="00D579BC" w:rsidRDefault="00000000">
            <w:pPr>
              <w:spacing w:after="0" w:line="240" w:lineRule="auto"/>
              <w:jc w:val="both"/>
            </w:pPr>
            <w:r>
              <w:rPr>
                <w:rFonts w:ascii="맑은 고딕"/>
                <w:color w:val="000000"/>
                <w:sz w:val="20"/>
              </w:rPr>
              <w:t>90.  This part of the brain help you remaining resiliently in the face of stress and are involving in mood regulation.</w:t>
            </w:r>
          </w:p>
        </w:tc>
      </w:tr>
      <w:tr w:rsidR="00D579BC" w14:paraId="6136C700" w14:textId="77777777">
        <w:trPr>
          <w:trHeight w:val="75"/>
          <w:tblCellSpacing w:w="0" w:type="dxa"/>
        </w:trPr>
        <w:tc>
          <w:tcPr>
            <w:tcW w:w="0" w:type="auto"/>
            <w:gridSpan w:val="2"/>
          </w:tcPr>
          <w:p w14:paraId="56F71D95" w14:textId="77777777" w:rsidR="00D579BC" w:rsidRDefault="00000000">
            <w:pPr>
              <w:spacing w:after="0" w:line="240" w:lineRule="auto"/>
              <w:jc w:val="both"/>
            </w:pPr>
            <w:r>
              <w:rPr>
                <w:rFonts w:ascii="맑은 고딕"/>
                <w:color w:val="000000"/>
                <w:sz w:val="20"/>
              </w:rPr>
              <w:t>91.  It also helps you monitoring the safety of your environment and storing dangerous images in your longterm memory so you can avoid them in the future.</w:t>
            </w:r>
          </w:p>
        </w:tc>
      </w:tr>
      <w:tr w:rsidR="00D579BC" w14:paraId="18C3D232" w14:textId="77777777">
        <w:trPr>
          <w:trHeight w:val="75"/>
          <w:tblCellSpacing w:w="0" w:type="dxa"/>
        </w:trPr>
        <w:tc>
          <w:tcPr>
            <w:tcW w:w="0" w:type="auto"/>
            <w:gridSpan w:val="2"/>
          </w:tcPr>
          <w:p w14:paraId="0D7D3E18" w14:textId="77777777" w:rsidR="00D579BC" w:rsidRDefault="00000000">
            <w:pPr>
              <w:spacing w:after="0" w:line="240" w:lineRule="auto"/>
              <w:jc w:val="both"/>
            </w:pPr>
            <w:r>
              <w:rPr>
                <w:rFonts w:ascii="맑은 고딕"/>
                <w:color w:val="000000"/>
                <w:sz w:val="20"/>
              </w:rPr>
              <w:t>92.  It does all these things as part of its duties of regulate your sympathetic and parasympathetic nervous systems.</w:t>
            </w:r>
          </w:p>
        </w:tc>
      </w:tr>
      <w:tr w:rsidR="00D579BC" w14:paraId="27118022" w14:textId="77777777">
        <w:trPr>
          <w:trHeight w:val="75"/>
          <w:tblCellSpacing w:w="0" w:type="dxa"/>
        </w:trPr>
        <w:tc>
          <w:tcPr>
            <w:tcW w:w="0" w:type="auto"/>
            <w:gridSpan w:val="2"/>
          </w:tcPr>
          <w:p w14:paraId="2B6399D6" w14:textId="77777777" w:rsidR="00D579BC" w:rsidRDefault="00000000">
            <w:pPr>
              <w:spacing w:after="0" w:line="240" w:lineRule="auto"/>
              <w:jc w:val="both"/>
            </w:pPr>
            <w:r>
              <w:rPr>
                <w:rFonts w:ascii="맑은 고딕"/>
                <w:color w:val="000000"/>
                <w:sz w:val="20"/>
              </w:rPr>
              <w:t>93.  But chronic stress can confuse the hippocampus and leads to turning signals for cortisol "on" instead of "off," that can trap you in a constant state of fight, flight, or freeze.</w:t>
            </w:r>
          </w:p>
        </w:tc>
      </w:tr>
      <w:tr w:rsidR="00D579BC" w14:paraId="31050785" w14:textId="77777777">
        <w:trPr>
          <w:trHeight w:val="150"/>
          <w:tblCellSpacing w:w="0" w:type="dxa"/>
        </w:trPr>
        <w:tc>
          <w:tcPr>
            <w:tcW w:w="0" w:type="auto"/>
            <w:gridSpan w:val="2"/>
            <w:vAlign w:val="center"/>
          </w:tcPr>
          <w:p w14:paraId="656D6693" w14:textId="77777777" w:rsidR="00D579BC" w:rsidRDefault="00D579BC"/>
        </w:tc>
      </w:tr>
      <w:tr w:rsidR="00D579BC" w14:paraId="3DB52F21" w14:textId="77777777">
        <w:trPr>
          <w:trHeight w:val="375"/>
          <w:tblCellSpacing w:w="0" w:type="dxa"/>
        </w:trPr>
        <w:tc>
          <w:tcPr>
            <w:tcW w:w="0" w:type="auto"/>
            <w:gridSpan w:val="2"/>
            <w:vAlign w:val="center"/>
          </w:tcPr>
          <w:p w14:paraId="28FE454C" w14:textId="77777777" w:rsidR="00D579BC" w:rsidRDefault="00000000">
            <w:pPr>
              <w:spacing w:after="0"/>
            </w:pPr>
            <w:r>
              <w:rPr>
                <w:rFonts w:ascii="맑은 고딕"/>
                <w:color w:val="000000"/>
                <w:sz w:val="16"/>
              </w:rPr>
              <w:t>15. p7-no.38</w:t>
            </w:r>
          </w:p>
        </w:tc>
      </w:tr>
      <w:tr w:rsidR="00D579BC" w14:paraId="5BEE25DE" w14:textId="77777777">
        <w:trPr>
          <w:trHeight w:val="75"/>
          <w:tblCellSpacing w:w="0" w:type="dxa"/>
        </w:trPr>
        <w:tc>
          <w:tcPr>
            <w:tcW w:w="0" w:type="auto"/>
            <w:gridSpan w:val="2"/>
          </w:tcPr>
          <w:p w14:paraId="6ADDD981" w14:textId="77777777" w:rsidR="00D579BC" w:rsidRDefault="00000000">
            <w:pPr>
              <w:spacing w:after="0" w:line="240" w:lineRule="auto"/>
              <w:jc w:val="both"/>
            </w:pPr>
            <w:r>
              <w:rPr>
                <w:rFonts w:ascii="맑은 고딕"/>
                <w:color w:val="000000"/>
                <w:sz w:val="20"/>
              </w:rPr>
              <w:t>94.  It is important recognize what although science is a rule-based procedure, it is very much a creative process.</w:t>
            </w:r>
          </w:p>
        </w:tc>
      </w:tr>
      <w:tr w:rsidR="00D579BC" w14:paraId="712CD736" w14:textId="77777777">
        <w:trPr>
          <w:trHeight w:val="75"/>
          <w:tblCellSpacing w:w="0" w:type="dxa"/>
        </w:trPr>
        <w:tc>
          <w:tcPr>
            <w:tcW w:w="0" w:type="auto"/>
            <w:gridSpan w:val="2"/>
          </w:tcPr>
          <w:p w14:paraId="5A2FA72A" w14:textId="77777777" w:rsidR="00D579BC" w:rsidRDefault="00000000">
            <w:pPr>
              <w:spacing w:after="0" w:line="240" w:lineRule="auto"/>
              <w:jc w:val="both"/>
            </w:pPr>
            <w:r>
              <w:rPr>
                <w:rFonts w:ascii="맑은 고딕"/>
                <w:color w:val="000000"/>
                <w:sz w:val="20"/>
              </w:rPr>
              <w:t>95.  A conjecture is a philosophical invention, cooking up rather mystical by the mind through the mental computation we call careful contemplation.</w:t>
            </w:r>
          </w:p>
        </w:tc>
      </w:tr>
      <w:tr w:rsidR="00D579BC" w14:paraId="736EB130" w14:textId="77777777">
        <w:trPr>
          <w:trHeight w:val="75"/>
          <w:tblCellSpacing w:w="0" w:type="dxa"/>
        </w:trPr>
        <w:tc>
          <w:tcPr>
            <w:tcW w:w="0" w:type="auto"/>
            <w:gridSpan w:val="2"/>
          </w:tcPr>
          <w:p w14:paraId="60493477" w14:textId="77777777" w:rsidR="00D579BC" w:rsidRDefault="00000000">
            <w:pPr>
              <w:spacing w:after="0" w:line="240" w:lineRule="auto"/>
              <w:jc w:val="both"/>
            </w:pPr>
            <w:r>
              <w:rPr>
                <w:rFonts w:ascii="맑은 고딕"/>
                <w:color w:val="000000"/>
                <w:sz w:val="20"/>
              </w:rPr>
              <w:t>96.  However, until the hypothesis tests against reality, it is not yet truly knowledge; it is just information what represent speculation.</w:t>
            </w:r>
          </w:p>
        </w:tc>
      </w:tr>
      <w:tr w:rsidR="00D579BC" w14:paraId="593A980D" w14:textId="77777777">
        <w:trPr>
          <w:trHeight w:val="75"/>
          <w:tblCellSpacing w:w="0" w:type="dxa"/>
        </w:trPr>
        <w:tc>
          <w:tcPr>
            <w:tcW w:w="0" w:type="auto"/>
            <w:gridSpan w:val="2"/>
          </w:tcPr>
          <w:p w14:paraId="78907738" w14:textId="77777777" w:rsidR="00D579BC" w:rsidRDefault="00000000">
            <w:pPr>
              <w:spacing w:after="0" w:line="240" w:lineRule="auto"/>
              <w:jc w:val="both"/>
            </w:pPr>
            <w:r>
              <w:rPr>
                <w:rFonts w:ascii="맑은 고딕"/>
                <w:color w:val="000000"/>
                <w:sz w:val="20"/>
              </w:rPr>
              <w:t>97.  Knowledge is information what have demonstrated its usefulness.</w:t>
            </w:r>
          </w:p>
        </w:tc>
      </w:tr>
      <w:tr w:rsidR="00D579BC" w14:paraId="5E9BB099" w14:textId="77777777">
        <w:trPr>
          <w:trHeight w:val="75"/>
          <w:tblCellSpacing w:w="0" w:type="dxa"/>
        </w:trPr>
        <w:tc>
          <w:tcPr>
            <w:tcW w:w="0" w:type="auto"/>
            <w:gridSpan w:val="2"/>
          </w:tcPr>
          <w:p w14:paraId="37E81C8A" w14:textId="77777777" w:rsidR="00D579BC" w:rsidRDefault="00000000">
            <w:pPr>
              <w:spacing w:after="0" w:line="240" w:lineRule="auto"/>
              <w:jc w:val="both"/>
            </w:pPr>
            <w:r>
              <w:rPr>
                <w:rFonts w:ascii="맑은 고딕"/>
                <w:color w:val="000000"/>
                <w:sz w:val="20"/>
              </w:rPr>
              <w:lastRenderedPageBreak/>
              <w:t>98.  It is that leaves over after cycles of experimental testing has been eliminated false theories.</w:t>
            </w:r>
          </w:p>
        </w:tc>
      </w:tr>
      <w:tr w:rsidR="00D579BC" w14:paraId="535A134C" w14:textId="77777777">
        <w:trPr>
          <w:trHeight w:val="75"/>
          <w:tblCellSpacing w:w="0" w:type="dxa"/>
        </w:trPr>
        <w:tc>
          <w:tcPr>
            <w:tcW w:w="0" w:type="auto"/>
            <w:gridSpan w:val="2"/>
          </w:tcPr>
          <w:p w14:paraId="15D2CEF4" w14:textId="77777777" w:rsidR="00D579BC" w:rsidRDefault="00000000">
            <w:pPr>
              <w:spacing w:after="0" w:line="240" w:lineRule="auto"/>
              <w:jc w:val="both"/>
            </w:pPr>
            <w:r>
              <w:rPr>
                <w:rFonts w:ascii="맑은 고딕"/>
                <w:color w:val="000000"/>
                <w:sz w:val="20"/>
              </w:rPr>
              <w:t>99.  As scientists continual tests their hypotheses and modifies their models to account for new and surprised data, a kind of "learning loop" is emerged what statisticians call Bayesian updating.</w:t>
            </w:r>
          </w:p>
        </w:tc>
      </w:tr>
      <w:tr w:rsidR="00D579BC" w14:paraId="2C359061" w14:textId="77777777">
        <w:trPr>
          <w:trHeight w:val="75"/>
          <w:tblCellSpacing w:w="0" w:type="dxa"/>
        </w:trPr>
        <w:tc>
          <w:tcPr>
            <w:tcW w:w="0" w:type="auto"/>
            <w:gridSpan w:val="2"/>
          </w:tcPr>
          <w:p w14:paraId="41A32E57" w14:textId="77777777" w:rsidR="00D579BC" w:rsidRDefault="00000000">
            <w:pPr>
              <w:spacing w:after="0" w:line="240" w:lineRule="auto"/>
              <w:jc w:val="both"/>
            </w:pPr>
            <w:r>
              <w:rPr>
                <w:rFonts w:ascii="맑은 고딕"/>
                <w:color w:val="000000"/>
                <w:sz w:val="20"/>
              </w:rPr>
              <w:t>100.  Based on Bayes' Rule, developing by eighteenth-century English statistician and philosopher Thomas Bayes, Bayesian updating is referred to a mathematical process whereby an accepting theory or predictive model gets increasing accurately through the repetitive testing of compete variants of that theory.</w:t>
            </w:r>
          </w:p>
        </w:tc>
      </w:tr>
      <w:tr w:rsidR="00D579BC" w14:paraId="34F9249D" w14:textId="77777777">
        <w:trPr>
          <w:trHeight w:val="150"/>
          <w:tblCellSpacing w:w="0" w:type="dxa"/>
        </w:trPr>
        <w:tc>
          <w:tcPr>
            <w:tcW w:w="0" w:type="auto"/>
            <w:gridSpan w:val="2"/>
            <w:vAlign w:val="center"/>
          </w:tcPr>
          <w:p w14:paraId="1DF0ABBD" w14:textId="77777777" w:rsidR="00D579BC" w:rsidRDefault="00D579BC"/>
        </w:tc>
      </w:tr>
      <w:tr w:rsidR="00D579BC" w14:paraId="3E0DA71F" w14:textId="77777777">
        <w:trPr>
          <w:trHeight w:val="375"/>
          <w:tblCellSpacing w:w="0" w:type="dxa"/>
        </w:trPr>
        <w:tc>
          <w:tcPr>
            <w:tcW w:w="0" w:type="auto"/>
            <w:gridSpan w:val="2"/>
            <w:vAlign w:val="center"/>
          </w:tcPr>
          <w:p w14:paraId="54FE624A" w14:textId="77777777" w:rsidR="00D579BC" w:rsidRDefault="00000000">
            <w:pPr>
              <w:spacing w:after="0"/>
            </w:pPr>
            <w:r>
              <w:rPr>
                <w:rFonts w:ascii="맑은 고딕"/>
                <w:color w:val="000000"/>
                <w:sz w:val="16"/>
              </w:rPr>
              <w:t>16. p7-no.39</w:t>
            </w:r>
          </w:p>
        </w:tc>
      </w:tr>
      <w:tr w:rsidR="00D579BC" w14:paraId="6D26D1B0" w14:textId="77777777">
        <w:trPr>
          <w:trHeight w:val="75"/>
          <w:tblCellSpacing w:w="0" w:type="dxa"/>
        </w:trPr>
        <w:tc>
          <w:tcPr>
            <w:tcW w:w="0" w:type="auto"/>
            <w:gridSpan w:val="2"/>
          </w:tcPr>
          <w:p w14:paraId="2CD11BDE" w14:textId="77777777" w:rsidR="00D579BC" w:rsidRDefault="00000000">
            <w:pPr>
              <w:spacing w:after="0" w:line="240" w:lineRule="auto"/>
              <w:jc w:val="both"/>
            </w:pPr>
            <w:r>
              <w:rPr>
                <w:rFonts w:ascii="맑은 고딕"/>
                <w:color w:val="000000"/>
                <w:sz w:val="20"/>
              </w:rPr>
              <w:t>101.  As a general rule, it's better if your definition corresponds as close as possible to the way which the term is ordinary using in the kinds of debates which your claims are pertinent.</w:t>
            </w:r>
          </w:p>
        </w:tc>
      </w:tr>
      <w:tr w:rsidR="00D579BC" w14:paraId="17F1D7A9" w14:textId="77777777">
        <w:trPr>
          <w:trHeight w:val="75"/>
          <w:tblCellSpacing w:w="0" w:type="dxa"/>
        </w:trPr>
        <w:tc>
          <w:tcPr>
            <w:tcW w:w="0" w:type="auto"/>
            <w:gridSpan w:val="2"/>
          </w:tcPr>
          <w:p w14:paraId="05473611" w14:textId="77777777" w:rsidR="00D579BC" w:rsidRDefault="00000000">
            <w:pPr>
              <w:spacing w:after="0" w:line="240" w:lineRule="auto"/>
              <w:jc w:val="both"/>
            </w:pPr>
            <w:r>
              <w:rPr>
                <w:rFonts w:ascii="맑은 고딕"/>
                <w:color w:val="000000"/>
                <w:sz w:val="20"/>
              </w:rPr>
              <w:t>102.  There will be, however, occasions which it is appropriate, even necessary, coin special uses through that philosophers call stimulative definition.</w:t>
            </w:r>
          </w:p>
        </w:tc>
      </w:tr>
      <w:tr w:rsidR="00D579BC" w14:paraId="5FF7C8BE" w14:textId="77777777">
        <w:trPr>
          <w:trHeight w:val="75"/>
          <w:tblCellSpacing w:w="0" w:type="dxa"/>
        </w:trPr>
        <w:tc>
          <w:tcPr>
            <w:tcW w:w="0" w:type="auto"/>
            <w:gridSpan w:val="2"/>
          </w:tcPr>
          <w:p w14:paraId="33EB2BB0" w14:textId="77777777" w:rsidR="00D579BC" w:rsidRDefault="00000000">
            <w:pPr>
              <w:spacing w:after="0" w:line="240" w:lineRule="auto"/>
              <w:jc w:val="both"/>
            </w:pPr>
            <w:r>
              <w:rPr>
                <w:rFonts w:ascii="맑은 고딕"/>
                <w:color w:val="000000"/>
                <w:sz w:val="20"/>
              </w:rPr>
              <w:t>103.  This would be the case which the current lexicon is not able to make distinctions what you think is philosophical important.</w:t>
            </w:r>
          </w:p>
        </w:tc>
      </w:tr>
      <w:tr w:rsidR="00D579BC" w14:paraId="1B152785" w14:textId="77777777">
        <w:trPr>
          <w:trHeight w:val="75"/>
          <w:tblCellSpacing w:w="0" w:type="dxa"/>
        </w:trPr>
        <w:tc>
          <w:tcPr>
            <w:tcW w:w="0" w:type="auto"/>
            <w:gridSpan w:val="2"/>
          </w:tcPr>
          <w:p w14:paraId="3FDCF7A4" w14:textId="77777777" w:rsidR="00D579BC" w:rsidRDefault="00000000">
            <w:pPr>
              <w:spacing w:after="0" w:line="240" w:lineRule="auto"/>
              <w:jc w:val="both"/>
            </w:pPr>
            <w:r>
              <w:rPr>
                <w:rFonts w:ascii="맑은 고딕"/>
                <w:color w:val="000000"/>
                <w:sz w:val="20"/>
              </w:rPr>
              <w:t>104.  For example, we do not have a term in ordinary language what describe a memory what are not necessary a memory of something the person had it has been experienced.</w:t>
            </w:r>
          </w:p>
        </w:tc>
      </w:tr>
      <w:tr w:rsidR="00D579BC" w14:paraId="4BD05132" w14:textId="77777777">
        <w:trPr>
          <w:trHeight w:val="75"/>
          <w:tblCellSpacing w:w="0" w:type="dxa"/>
        </w:trPr>
        <w:tc>
          <w:tcPr>
            <w:tcW w:w="0" w:type="auto"/>
            <w:gridSpan w:val="2"/>
          </w:tcPr>
          <w:p w14:paraId="1599E419" w14:textId="77777777" w:rsidR="00D579BC" w:rsidRDefault="00000000">
            <w:pPr>
              <w:spacing w:after="0" w:line="240" w:lineRule="auto"/>
              <w:jc w:val="both"/>
            </w:pPr>
            <w:r>
              <w:rPr>
                <w:rFonts w:ascii="맑은 고딕"/>
                <w:color w:val="000000"/>
                <w:sz w:val="20"/>
              </w:rPr>
              <w:t>105.  Such a thing would be occurred, for example, if I could somehow share your memories:</w:t>
            </w:r>
          </w:p>
        </w:tc>
      </w:tr>
      <w:tr w:rsidR="00D579BC" w14:paraId="3B3342A0" w14:textId="77777777">
        <w:trPr>
          <w:trHeight w:val="75"/>
          <w:tblCellSpacing w:w="0" w:type="dxa"/>
        </w:trPr>
        <w:tc>
          <w:tcPr>
            <w:tcW w:w="0" w:type="auto"/>
            <w:gridSpan w:val="2"/>
          </w:tcPr>
          <w:p w14:paraId="11C7DB43" w14:textId="77777777" w:rsidR="00D579BC" w:rsidRDefault="00000000">
            <w:pPr>
              <w:spacing w:after="0" w:line="240" w:lineRule="auto"/>
              <w:jc w:val="both"/>
            </w:pPr>
            <w:r>
              <w:rPr>
                <w:rFonts w:ascii="맑은 고딕"/>
                <w:color w:val="000000"/>
                <w:sz w:val="20"/>
              </w:rPr>
              <w:t>106.  I would have a memory-type experience, but this would not be of something what I had actually been experienced.</w:t>
            </w:r>
          </w:p>
        </w:tc>
      </w:tr>
      <w:tr w:rsidR="00D579BC" w14:paraId="0058E8D8" w14:textId="77777777">
        <w:trPr>
          <w:trHeight w:val="75"/>
          <w:tblCellSpacing w:w="0" w:type="dxa"/>
        </w:trPr>
        <w:tc>
          <w:tcPr>
            <w:tcW w:w="0" w:type="auto"/>
            <w:gridSpan w:val="2"/>
          </w:tcPr>
          <w:p w14:paraId="388FD130" w14:textId="77777777" w:rsidR="00D579BC" w:rsidRDefault="00000000">
            <w:pPr>
              <w:spacing w:after="0" w:line="240" w:lineRule="auto"/>
              <w:jc w:val="both"/>
            </w:pPr>
            <w:r>
              <w:rPr>
                <w:rFonts w:ascii="맑은 고딕"/>
                <w:color w:val="000000"/>
                <w:sz w:val="20"/>
              </w:rPr>
              <w:t>107.  Call this a memory would be misleading.</w:t>
            </w:r>
          </w:p>
        </w:tc>
      </w:tr>
      <w:tr w:rsidR="00D579BC" w14:paraId="2E4BB225" w14:textId="77777777">
        <w:trPr>
          <w:trHeight w:val="75"/>
          <w:tblCellSpacing w:w="0" w:type="dxa"/>
        </w:trPr>
        <w:tc>
          <w:tcPr>
            <w:tcW w:w="0" w:type="auto"/>
            <w:gridSpan w:val="2"/>
          </w:tcPr>
          <w:p w14:paraId="6DE9681A" w14:textId="77777777" w:rsidR="00D579BC" w:rsidRDefault="00000000">
            <w:pPr>
              <w:spacing w:after="0" w:line="240" w:lineRule="auto"/>
              <w:jc w:val="both"/>
            </w:pPr>
            <w:r>
              <w:rPr>
                <w:rFonts w:ascii="맑은 고딕"/>
                <w:color w:val="000000"/>
                <w:sz w:val="20"/>
              </w:rPr>
              <w:t>108.  For this reason, philosophers have coined the special term 'quasimemory' to refer to these hypothetical memory-like experiences.</w:t>
            </w:r>
          </w:p>
        </w:tc>
      </w:tr>
      <w:tr w:rsidR="00D579BC" w14:paraId="35F34AF3" w14:textId="77777777">
        <w:trPr>
          <w:trHeight w:val="150"/>
          <w:tblCellSpacing w:w="0" w:type="dxa"/>
        </w:trPr>
        <w:tc>
          <w:tcPr>
            <w:tcW w:w="0" w:type="auto"/>
            <w:gridSpan w:val="2"/>
            <w:vAlign w:val="center"/>
          </w:tcPr>
          <w:p w14:paraId="28FE1188" w14:textId="77777777" w:rsidR="00D579BC" w:rsidRDefault="00D579BC"/>
        </w:tc>
      </w:tr>
      <w:tr w:rsidR="00D579BC" w14:paraId="7A5D2E16" w14:textId="77777777">
        <w:trPr>
          <w:trHeight w:val="375"/>
          <w:tblCellSpacing w:w="0" w:type="dxa"/>
        </w:trPr>
        <w:tc>
          <w:tcPr>
            <w:tcW w:w="0" w:type="auto"/>
            <w:gridSpan w:val="2"/>
            <w:vAlign w:val="center"/>
          </w:tcPr>
          <w:p w14:paraId="518F1D20" w14:textId="77777777" w:rsidR="00D579BC" w:rsidRDefault="00000000">
            <w:pPr>
              <w:spacing w:after="0"/>
            </w:pPr>
            <w:r>
              <w:rPr>
                <w:rFonts w:ascii="맑은 고딕"/>
                <w:color w:val="000000"/>
                <w:sz w:val="16"/>
              </w:rPr>
              <w:t>17. p7-no.40</w:t>
            </w:r>
          </w:p>
        </w:tc>
      </w:tr>
      <w:tr w:rsidR="00D579BC" w14:paraId="0AB4D1EF" w14:textId="77777777">
        <w:trPr>
          <w:trHeight w:val="75"/>
          <w:tblCellSpacing w:w="0" w:type="dxa"/>
        </w:trPr>
        <w:tc>
          <w:tcPr>
            <w:tcW w:w="0" w:type="auto"/>
            <w:gridSpan w:val="2"/>
          </w:tcPr>
          <w:p w14:paraId="63BDFD8C" w14:textId="77777777" w:rsidR="00D579BC" w:rsidRDefault="00000000">
            <w:pPr>
              <w:spacing w:after="0" w:line="240" w:lineRule="auto"/>
              <w:jc w:val="both"/>
            </w:pPr>
            <w:r>
              <w:rPr>
                <w:rFonts w:ascii="맑은 고딕"/>
                <w:color w:val="000000"/>
                <w:sz w:val="20"/>
              </w:rPr>
              <w:t>109.  Quite often the interaction between groups are social unequal, and this reflects in the fact which in many cases borrowing of words or constructions go most or entire in one direction, from the more powerful or prestigious group to the less favoring one.</w:t>
            </w:r>
          </w:p>
        </w:tc>
      </w:tr>
      <w:tr w:rsidR="00D579BC" w14:paraId="039B53E6" w14:textId="77777777">
        <w:trPr>
          <w:trHeight w:val="75"/>
          <w:tblCellSpacing w:w="0" w:type="dxa"/>
        </w:trPr>
        <w:tc>
          <w:tcPr>
            <w:tcW w:w="0" w:type="auto"/>
            <w:gridSpan w:val="2"/>
          </w:tcPr>
          <w:p w14:paraId="55E66AC8" w14:textId="77777777" w:rsidR="00D579BC" w:rsidRDefault="00000000">
            <w:pPr>
              <w:spacing w:after="0" w:line="240" w:lineRule="auto"/>
              <w:jc w:val="both"/>
            </w:pPr>
            <w:r>
              <w:rPr>
                <w:rFonts w:ascii="맑은 고딕"/>
                <w:color w:val="000000"/>
                <w:sz w:val="20"/>
              </w:rPr>
              <w:t>110.  The languages of social subordinating groups may from quite an early period of contact provide terminology for objects or practices which speakers of the more powerful group was previous unfamiliar, but the effects of contact in that direction may not progress any further than this.</w:t>
            </w:r>
          </w:p>
        </w:tc>
      </w:tr>
      <w:tr w:rsidR="00D579BC" w14:paraId="6BB95876" w14:textId="77777777">
        <w:trPr>
          <w:trHeight w:val="75"/>
          <w:tblCellSpacing w:w="0" w:type="dxa"/>
        </w:trPr>
        <w:tc>
          <w:tcPr>
            <w:tcW w:w="0" w:type="auto"/>
            <w:gridSpan w:val="2"/>
          </w:tcPr>
          <w:p w14:paraId="78EE5ED7" w14:textId="77777777" w:rsidR="00D579BC" w:rsidRDefault="00000000">
            <w:pPr>
              <w:spacing w:after="0" w:line="240" w:lineRule="auto"/>
              <w:jc w:val="both"/>
            </w:pPr>
            <w:r>
              <w:rPr>
                <w:rFonts w:ascii="맑은 고딕"/>
                <w:color w:val="000000"/>
                <w:sz w:val="20"/>
              </w:rPr>
              <w:t>111.  In some cases, as with the Dharug language of Sydney, Australia, the source of some of the earliest loans from Indigenous Australian languages into English, the fate of the language system are extinction after the obliteration of many of its speakers.</w:t>
            </w:r>
          </w:p>
        </w:tc>
      </w:tr>
      <w:tr w:rsidR="00D579BC" w14:paraId="137F8861" w14:textId="77777777">
        <w:trPr>
          <w:trHeight w:val="75"/>
          <w:tblCellSpacing w:w="0" w:type="dxa"/>
        </w:trPr>
        <w:tc>
          <w:tcPr>
            <w:tcW w:w="0" w:type="auto"/>
            <w:gridSpan w:val="2"/>
          </w:tcPr>
          <w:p w14:paraId="40839889" w14:textId="77777777" w:rsidR="00D579BC" w:rsidRDefault="00000000">
            <w:pPr>
              <w:spacing w:after="0" w:line="240" w:lineRule="auto"/>
              <w:jc w:val="both"/>
            </w:pPr>
            <w:r>
              <w:rPr>
                <w:rFonts w:ascii="맑은 고딕"/>
                <w:color w:val="000000"/>
                <w:sz w:val="20"/>
              </w:rPr>
              <w:t>112.  The remainder shifted to varieties of English, the language of the people whom have suppressed them.</w:t>
            </w:r>
          </w:p>
        </w:tc>
      </w:tr>
      <w:tr w:rsidR="00D579BC" w14:paraId="6D8D3181" w14:textId="77777777">
        <w:trPr>
          <w:trHeight w:val="150"/>
          <w:tblCellSpacing w:w="0" w:type="dxa"/>
        </w:trPr>
        <w:tc>
          <w:tcPr>
            <w:tcW w:w="0" w:type="auto"/>
            <w:gridSpan w:val="2"/>
            <w:vAlign w:val="center"/>
          </w:tcPr>
          <w:p w14:paraId="1E9FA517" w14:textId="77777777" w:rsidR="00D579BC" w:rsidRDefault="00D579BC"/>
        </w:tc>
      </w:tr>
      <w:tr w:rsidR="00D579BC" w14:paraId="0F4CFC31" w14:textId="77777777">
        <w:trPr>
          <w:trHeight w:val="375"/>
          <w:tblCellSpacing w:w="0" w:type="dxa"/>
        </w:trPr>
        <w:tc>
          <w:tcPr>
            <w:tcW w:w="0" w:type="auto"/>
            <w:gridSpan w:val="2"/>
            <w:vAlign w:val="center"/>
          </w:tcPr>
          <w:p w14:paraId="5CB10D02" w14:textId="77777777" w:rsidR="00D579BC" w:rsidRDefault="00000000">
            <w:pPr>
              <w:spacing w:after="0"/>
            </w:pPr>
            <w:r>
              <w:rPr>
                <w:rFonts w:ascii="맑은 고딕"/>
                <w:color w:val="000000"/>
                <w:sz w:val="16"/>
              </w:rPr>
              <w:t>18. p8-no.41~42</w:t>
            </w:r>
          </w:p>
        </w:tc>
      </w:tr>
      <w:tr w:rsidR="00D579BC" w14:paraId="497F24F4" w14:textId="77777777">
        <w:trPr>
          <w:trHeight w:val="75"/>
          <w:tblCellSpacing w:w="0" w:type="dxa"/>
        </w:trPr>
        <w:tc>
          <w:tcPr>
            <w:tcW w:w="0" w:type="auto"/>
            <w:gridSpan w:val="2"/>
          </w:tcPr>
          <w:p w14:paraId="17739DF3" w14:textId="77777777" w:rsidR="00D579BC" w:rsidRDefault="00000000">
            <w:pPr>
              <w:spacing w:after="0" w:line="240" w:lineRule="auto"/>
              <w:jc w:val="both"/>
            </w:pPr>
            <w:r>
              <w:rPr>
                <w:rFonts w:ascii="맑은 고딕"/>
                <w:color w:val="000000"/>
                <w:sz w:val="20"/>
              </w:rPr>
              <w:t>113.  In 1900, at the close of the first decade which electric systems had become a practical alternative for manufacturers, less than 5 percent of the power using in factories had come from electricity.</w:t>
            </w:r>
          </w:p>
        </w:tc>
      </w:tr>
      <w:tr w:rsidR="00D579BC" w14:paraId="42AB8A09" w14:textId="77777777">
        <w:trPr>
          <w:trHeight w:val="75"/>
          <w:tblCellSpacing w:w="0" w:type="dxa"/>
        </w:trPr>
        <w:tc>
          <w:tcPr>
            <w:tcW w:w="0" w:type="auto"/>
            <w:gridSpan w:val="2"/>
          </w:tcPr>
          <w:p w14:paraId="2DB98EE4" w14:textId="77777777" w:rsidR="00D579BC" w:rsidRDefault="00000000">
            <w:pPr>
              <w:spacing w:after="0" w:line="240" w:lineRule="auto"/>
              <w:jc w:val="both"/>
            </w:pPr>
            <w:r>
              <w:rPr>
                <w:rFonts w:ascii="맑은 고딕"/>
                <w:color w:val="000000"/>
                <w:sz w:val="20"/>
              </w:rPr>
              <w:t>114.  But the technological advances of suppliers making electric systems and electric motors ever more affordably and reliably, and the suppliers' intensive marketing programs also sped the adoption of the new technology.</w:t>
            </w:r>
          </w:p>
        </w:tc>
      </w:tr>
      <w:tr w:rsidR="00D579BC" w14:paraId="7B466868" w14:textId="77777777">
        <w:trPr>
          <w:trHeight w:val="75"/>
          <w:tblCellSpacing w:w="0" w:type="dxa"/>
        </w:trPr>
        <w:tc>
          <w:tcPr>
            <w:tcW w:w="0" w:type="auto"/>
            <w:gridSpan w:val="2"/>
          </w:tcPr>
          <w:p w14:paraId="49DB4081" w14:textId="77777777" w:rsidR="00D579BC" w:rsidRDefault="00000000">
            <w:pPr>
              <w:spacing w:after="0" w:line="240" w:lineRule="auto"/>
              <w:jc w:val="both"/>
            </w:pPr>
            <w:r>
              <w:rPr>
                <w:rFonts w:ascii="맑은 고딕"/>
                <w:color w:val="000000"/>
                <w:sz w:val="20"/>
              </w:rPr>
              <w:t>115.  Further accelerate the shift were the rapid expansion in the number of skilled electrical engineers, that provided the expertise needing to install and run the new systems.</w:t>
            </w:r>
          </w:p>
        </w:tc>
      </w:tr>
      <w:tr w:rsidR="00D579BC" w14:paraId="0D0D9D64" w14:textId="77777777">
        <w:trPr>
          <w:trHeight w:val="75"/>
          <w:tblCellSpacing w:w="0" w:type="dxa"/>
        </w:trPr>
        <w:tc>
          <w:tcPr>
            <w:tcW w:w="0" w:type="auto"/>
            <w:gridSpan w:val="2"/>
          </w:tcPr>
          <w:p w14:paraId="57204BED" w14:textId="77777777" w:rsidR="00D579BC" w:rsidRDefault="00000000">
            <w:pPr>
              <w:spacing w:after="0" w:line="240" w:lineRule="auto"/>
              <w:jc w:val="both"/>
            </w:pPr>
            <w:r>
              <w:rPr>
                <w:rFonts w:ascii="맑은 고딕"/>
                <w:color w:val="000000"/>
                <w:sz w:val="20"/>
              </w:rPr>
              <w:t>116.  In short order, electric power had been gone from exotic to commonplace.</w:t>
            </w:r>
          </w:p>
        </w:tc>
      </w:tr>
      <w:tr w:rsidR="00D579BC" w14:paraId="7F1870A7" w14:textId="77777777">
        <w:trPr>
          <w:trHeight w:val="75"/>
          <w:tblCellSpacing w:w="0" w:type="dxa"/>
        </w:trPr>
        <w:tc>
          <w:tcPr>
            <w:tcW w:w="0" w:type="auto"/>
            <w:gridSpan w:val="2"/>
          </w:tcPr>
          <w:p w14:paraId="5E5BB415" w14:textId="77777777" w:rsidR="00D579BC" w:rsidRDefault="00000000">
            <w:pPr>
              <w:spacing w:after="0" w:line="240" w:lineRule="auto"/>
              <w:jc w:val="both"/>
            </w:pPr>
            <w:r>
              <w:rPr>
                <w:rFonts w:ascii="맑은 고딕"/>
                <w:color w:val="000000"/>
                <w:sz w:val="20"/>
              </w:rPr>
              <w:t>117.  But one thing didn't change.</w:t>
            </w:r>
          </w:p>
        </w:tc>
      </w:tr>
      <w:tr w:rsidR="00D579BC" w14:paraId="005B0ADA" w14:textId="77777777">
        <w:trPr>
          <w:trHeight w:val="75"/>
          <w:tblCellSpacing w:w="0" w:type="dxa"/>
        </w:trPr>
        <w:tc>
          <w:tcPr>
            <w:tcW w:w="0" w:type="auto"/>
            <w:gridSpan w:val="2"/>
          </w:tcPr>
          <w:p w14:paraId="67A6AD81" w14:textId="77777777" w:rsidR="00D579BC" w:rsidRDefault="00000000">
            <w:pPr>
              <w:spacing w:after="0" w:line="240" w:lineRule="auto"/>
              <w:jc w:val="both"/>
            </w:pPr>
            <w:r>
              <w:rPr>
                <w:rFonts w:ascii="맑은 고딕"/>
                <w:color w:val="000000"/>
                <w:sz w:val="20"/>
              </w:rPr>
              <w:t>118.  Factories continued to build their own power-supply systems on their own premises.</w:t>
            </w:r>
          </w:p>
        </w:tc>
      </w:tr>
      <w:tr w:rsidR="00D579BC" w14:paraId="2CD6DC9D" w14:textId="77777777">
        <w:trPr>
          <w:trHeight w:val="75"/>
          <w:tblCellSpacing w:w="0" w:type="dxa"/>
        </w:trPr>
        <w:tc>
          <w:tcPr>
            <w:tcW w:w="0" w:type="auto"/>
            <w:gridSpan w:val="2"/>
          </w:tcPr>
          <w:p w14:paraId="3FBC10A2" w14:textId="77777777" w:rsidR="00D579BC" w:rsidRDefault="00000000">
            <w:pPr>
              <w:spacing w:after="0" w:line="240" w:lineRule="auto"/>
              <w:jc w:val="both"/>
            </w:pPr>
            <w:r>
              <w:rPr>
                <w:rFonts w:ascii="맑은 고딕"/>
                <w:color w:val="000000"/>
                <w:sz w:val="20"/>
              </w:rPr>
              <w:t>119.  Few manufacturers considered to buy electricity from the small central stations.</w:t>
            </w:r>
          </w:p>
        </w:tc>
      </w:tr>
      <w:tr w:rsidR="00D579BC" w14:paraId="53CA4151" w14:textId="77777777">
        <w:trPr>
          <w:trHeight w:val="75"/>
          <w:tblCellSpacing w:w="0" w:type="dxa"/>
        </w:trPr>
        <w:tc>
          <w:tcPr>
            <w:tcW w:w="0" w:type="auto"/>
            <w:gridSpan w:val="2"/>
          </w:tcPr>
          <w:p w14:paraId="49DA3905" w14:textId="77777777" w:rsidR="00D579BC" w:rsidRDefault="00000000">
            <w:pPr>
              <w:spacing w:after="0" w:line="240" w:lineRule="auto"/>
              <w:jc w:val="both"/>
            </w:pPr>
            <w:r>
              <w:rPr>
                <w:rFonts w:ascii="맑은 고딕"/>
                <w:color w:val="000000"/>
                <w:sz w:val="20"/>
              </w:rPr>
              <w:t>120.  Designing to supply lighting to local homes and shops, the central stations had neither the size or the skill to serve the needs of big factories.</w:t>
            </w:r>
          </w:p>
        </w:tc>
      </w:tr>
      <w:tr w:rsidR="00D579BC" w14:paraId="4620B63E" w14:textId="77777777">
        <w:trPr>
          <w:trHeight w:val="75"/>
          <w:tblCellSpacing w:w="0" w:type="dxa"/>
        </w:trPr>
        <w:tc>
          <w:tcPr>
            <w:tcW w:w="0" w:type="auto"/>
            <w:gridSpan w:val="2"/>
          </w:tcPr>
          <w:p w14:paraId="1138ABBA" w14:textId="77777777" w:rsidR="00D579BC" w:rsidRDefault="00000000">
            <w:pPr>
              <w:spacing w:after="0" w:line="240" w:lineRule="auto"/>
              <w:jc w:val="both"/>
            </w:pPr>
            <w:r>
              <w:rPr>
                <w:rFonts w:ascii="맑은 고딕"/>
                <w:color w:val="000000"/>
                <w:sz w:val="20"/>
              </w:rPr>
              <w:t>121.  And the factory owners, had always supplied their own power, was loath to assign such a critical function to an outsider.</w:t>
            </w:r>
          </w:p>
        </w:tc>
      </w:tr>
      <w:tr w:rsidR="00D579BC" w14:paraId="3B4E5E2C" w14:textId="77777777">
        <w:trPr>
          <w:trHeight w:val="75"/>
          <w:tblCellSpacing w:w="0" w:type="dxa"/>
        </w:trPr>
        <w:tc>
          <w:tcPr>
            <w:tcW w:w="0" w:type="auto"/>
            <w:gridSpan w:val="2"/>
          </w:tcPr>
          <w:p w14:paraId="6FFC40C9" w14:textId="77777777" w:rsidR="00D579BC" w:rsidRDefault="00000000">
            <w:pPr>
              <w:spacing w:after="0" w:line="240" w:lineRule="auto"/>
              <w:jc w:val="both"/>
            </w:pPr>
            <w:r>
              <w:rPr>
                <w:rFonts w:ascii="맑은 고딕"/>
                <w:color w:val="000000"/>
                <w:sz w:val="20"/>
              </w:rPr>
              <w:t>122.  They knew what a glitch in power supply would bring their operations to a halt ─ and what a lot of glitches might well mean bankruptcy.</w:t>
            </w:r>
          </w:p>
        </w:tc>
      </w:tr>
      <w:tr w:rsidR="00D579BC" w14:paraId="635A7B07" w14:textId="77777777">
        <w:trPr>
          <w:trHeight w:val="75"/>
          <w:tblCellSpacing w:w="0" w:type="dxa"/>
        </w:trPr>
        <w:tc>
          <w:tcPr>
            <w:tcW w:w="0" w:type="auto"/>
            <w:gridSpan w:val="2"/>
          </w:tcPr>
          <w:p w14:paraId="487FA144" w14:textId="77777777" w:rsidR="00D579BC" w:rsidRDefault="00000000">
            <w:pPr>
              <w:spacing w:after="0" w:line="240" w:lineRule="auto"/>
              <w:jc w:val="both"/>
            </w:pPr>
            <w:r>
              <w:rPr>
                <w:rFonts w:ascii="맑은 고딕"/>
                <w:color w:val="000000"/>
                <w:sz w:val="20"/>
              </w:rPr>
              <w:t>123.  As the new century was begun, a survey found what there was already 50,000 private electric plants in operation, far surpassed the 3,600 central stations.</w:t>
            </w:r>
          </w:p>
        </w:tc>
      </w:tr>
    </w:tbl>
    <w:p w14:paraId="212EA6C4" w14:textId="77777777" w:rsidR="0013534E" w:rsidRDefault="0013534E"/>
    <w:sectPr w:rsidR="0013534E">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03957057">
    <w:abstractNumId w:val="1"/>
  </w:num>
  <w:num w:numId="2" w16cid:durableId="2005892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BC"/>
    <w:rsid w:val="0013534E"/>
    <w:rsid w:val="00633512"/>
    <w:rsid w:val="00C410DC"/>
    <w:rsid w:val="00D579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479DF51"/>
  <w15:docId w15:val="{6F222A61-DD37-434E-A771-B26C5746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2820</Words>
  <Characters>16074</Characters>
  <Application>Microsoft Office Word</Application>
  <DocSecurity>0</DocSecurity>
  <Lines>133</Lines>
  <Paragraphs>37</Paragraphs>
  <ScaleCrop>false</ScaleCrop>
  <Company/>
  <LinksUpToDate>false</LinksUpToDate>
  <CharactersWithSpaces>18857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zhs672@nate.com</cp:lastModifiedBy>
  <cp:revision>2</cp:revision>
  <dcterms:created xsi:type="dcterms:W3CDTF">2025-03-31T08:21:00Z</dcterms:created>
  <dcterms:modified xsi:type="dcterms:W3CDTF">2025-03-31T08:21:00Z</dcterms:modified>
</cp:coreProperties>
</file>