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9027"/>
      </w:tblGrid>
      <w:tr w:rsidR="003047D1" w14:paraId="60EE5DF4" w14:textId="77777777">
        <w:trPr>
          <w:trHeight w:val="150"/>
          <w:tblCellSpacing w:w="0" w:type="dxa"/>
        </w:trPr>
        <w:tc>
          <w:tcPr>
            <w:tcW w:w="14400" w:type="dxa"/>
            <w:vAlign w:val="center"/>
          </w:tcPr>
          <w:p w14:paraId="5757DE0C" w14:textId="77777777" w:rsidR="003047D1" w:rsidRDefault="00000000">
            <w:pPr>
              <w:spacing w:after="0"/>
              <w:rPr>
                <w:lang w:eastAsia="ko-KR"/>
              </w:rPr>
            </w:pPr>
            <w:r>
              <w:rPr>
                <w:rFonts w:ascii="맑은 고딕"/>
                <w:color w:val="000000"/>
                <w:sz w:val="16"/>
                <w:lang w:eastAsia="ko-KR"/>
              </w:rPr>
              <w:t>고2_2025_03월(서울시) - 읽기영역(18~45번)</w:t>
            </w:r>
          </w:p>
        </w:tc>
      </w:tr>
      <w:tr w:rsidR="003047D1" w14:paraId="4F6D1001" w14:textId="77777777">
        <w:trPr>
          <w:trHeight w:val="615"/>
          <w:tblCellSpacing w:w="0" w:type="dxa"/>
        </w:trPr>
        <w:tc>
          <w:tcPr>
            <w:tcW w:w="14400" w:type="dxa"/>
            <w:tcBorders>
              <w:top w:val="single" w:sz="8" w:space="0" w:color="DADADA"/>
            </w:tcBorders>
            <w:shd w:val="clear" w:color="auto" w:fill="BDD6EE"/>
            <w:vAlign w:val="center"/>
          </w:tcPr>
          <w:p w14:paraId="3397538D" w14:textId="77777777" w:rsidR="003047D1" w:rsidRDefault="00000000">
            <w:pPr>
              <w:spacing w:after="0"/>
              <w:jc w:val="center"/>
            </w:pPr>
            <w:r>
              <w:rPr>
                <w:rFonts w:ascii="맑은 고딕"/>
                <w:color w:val="00008B"/>
                <w:sz w:val="16"/>
              </w:rPr>
              <w:t>낱말배열 (정답지)</w:t>
            </w:r>
          </w:p>
        </w:tc>
      </w:tr>
      <w:tr w:rsidR="003047D1" w14:paraId="0923D30B" w14:textId="77777777">
        <w:trPr>
          <w:trHeight w:val="75"/>
          <w:tblCellSpacing w:w="0" w:type="dxa"/>
        </w:trPr>
        <w:tc>
          <w:tcPr>
            <w:tcW w:w="14400" w:type="dxa"/>
          </w:tcPr>
          <w:tbl>
            <w:tblPr>
              <w:tblW w:w="0" w:type="auto"/>
              <w:tblCellSpacing w:w="0" w:type="dxa"/>
              <w:tblLook w:val="04A0" w:firstRow="1" w:lastRow="0" w:firstColumn="1" w:lastColumn="0" w:noHBand="0" w:noVBand="1"/>
            </w:tblPr>
            <w:tblGrid>
              <w:gridCol w:w="8811"/>
            </w:tblGrid>
            <w:tr w:rsidR="003047D1" w14:paraId="2E506BCA" w14:textId="77777777">
              <w:trPr>
                <w:trHeight w:val="225"/>
                <w:tblCellSpacing w:w="0" w:type="dxa"/>
              </w:trPr>
              <w:tc>
                <w:tcPr>
                  <w:tcW w:w="0" w:type="auto"/>
                  <w:vAlign w:val="center"/>
                </w:tcPr>
                <w:p w14:paraId="260BD0A7" w14:textId="77777777" w:rsidR="003047D1" w:rsidRDefault="00000000">
                  <w:pPr>
                    <w:spacing w:after="0"/>
                    <w:jc w:val="both"/>
                  </w:pPr>
                  <w:r>
                    <w:rPr>
                      <w:rFonts w:ascii="맑은 고딕"/>
                      <w:b/>
                      <w:color w:val="00008B"/>
                      <w:sz w:val="16"/>
                    </w:rPr>
                    <w:t>1. p2-no.20</w:t>
                  </w:r>
                </w:p>
              </w:tc>
            </w:tr>
            <w:tr w:rsidR="003047D1" w14:paraId="6DB6CDD4" w14:textId="77777777">
              <w:trPr>
                <w:trHeight w:val="75"/>
                <w:tblCellSpacing w:w="0" w:type="dxa"/>
              </w:trPr>
              <w:tc>
                <w:tcPr>
                  <w:tcW w:w="0" w:type="auto"/>
                  <w:vAlign w:val="center"/>
                </w:tcPr>
                <w:p w14:paraId="5E43E50B" w14:textId="77777777" w:rsidR="003047D1" w:rsidRDefault="00000000">
                  <w:pPr>
                    <w:spacing w:after="0"/>
                    <w:jc w:val="both"/>
                  </w:pPr>
                  <w:r>
                    <w:rPr>
                      <w:rFonts w:ascii="맑은 고딕"/>
                      <w:color w:val="000000"/>
                      <w:sz w:val="18"/>
                    </w:rPr>
                    <w:t>1.  Fans who are inclined to spend a lot of time thinking about what athletes owe them as fans should also think about the corresponding obligations that fans might have as fans.</w:t>
                  </w:r>
                </w:p>
              </w:tc>
            </w:tr>
            <w:tr w:rsidR="003047D1" w14:paraId="2CEF76A9" w14:textId="77777777">
              <w:trPr>
                <w:trHeight w:val="75"/>
                <w:tblCellSpacing w:w="0" w:type="dxa"/>
              </w:trPr>
              <w:tc>
                <w:tcPr>
                  <w:tcW w:w="0" w:type="auto"/>
                  <w:vAlign w:val="center"/>
                </w:tcPr>
                <w:p w14:paraId="1903415E" w14:textId="77777777" w:rsidR="003047D1" w:rsidRDefault="00000000">
                  <w:pPr>
                    <w:spacing w:after="0"/>
                    <w:jc w:val="both"/>
                  </w:pPr>
                  <w:r>
                    <w:rPr>
                      <w:rFonts w:ascii="맑은 고딕"/>
                      <w:color w:val="000000"/>
                      <w:sz w:val="18"/>
                    </w:rPr>
                    <w:t>2.  One who thinks only about what they are entitled to receive from their friends without ever giving a moment's thought to what they owe their friends is, to put it mildly, not a very good friend.</w:t>
                  </w:r>
                </w:p>
              </w:tc>
            </w:tr>
            <w:tr w:rsidR="003047D1" w14:paraId="3CCCC51A" w14:textId="77777777">
              <w:trPr>
                <w:trHeight w:val="30"/>
                <w:tblCellSpacing w:w="0" w:type="dxa"/>
              </w:trPr>
              <w:tc>
                <w:tcPr>
                  <w:tcW w:w="0" w:type="auto"/>
                  <w:vAlign w:val="center"/>
                </w:tcPr>
                <w:p w14:paraId="79A7FE1E" w14:textId="77777777" w:rsidR="003047D1" w:rsidRDefault="003047D1"/>
              </w:tc>
            </w:tr>
            <w:tr w:rsidR="003047D1" w14:paraId="50886028" w14:textId="77777777">
              <w:trPr>
                <w:trHeight w:val="225"/>
                <w:tblCellSpacing w:w="0" w:type="dxa"/>
              </w:trPr>
              <w:tc>
                <w:tcPr>
                  <w:tcW w:w="0" w:type="auto"/>
                  <w:vAlign w:val="center"/>
                </w:tcPr>
                <w:p w14:paraId="16B24832" w14:textId="77777777" w:rsidR="003047D1" w:rsidRDefault="00000000">
                  <w:pPr>
                    <w:spacing w:after="0"/>
                    <w:jc w:val="both"/>
                  </w:pPr>
                  <w:r>
                    <w:rPr>
                      <w:rFonts w:ascii="맑은 고딕"/>
                      <w:b/>
                      <w:color w:val="00008B"/>
                      <w:sz w:val="16"/>
                    </w:rPr>
                    <w:t>2. p3-no.21</w:t>
                  </w:r>
                </w:p>
              </w:tc>
            </w:tr>
            <w:tr w:rsidR="003047D1" w14:paraId="4A5AFF20" w14:textId="77777777">
              <w:trPr>
                <w:trHeight w:val="75"/>
                <w:tblCellSpacing w:w="0" w:type="dxa"/>
              </w:trPr>
              <w:tc>
                <w:tcPr>
                  <w:tcW w:w="0" w:type="auto"/>
                  <w:vAlign w:val="center"/>
                </w:tcPr>
                <w:p w14:paraId="1ADDCF00" w14:textId="77777777" w:rsidR="003047D1" w:rsidRDefault="00000000">
                  <w:pPr>
                    <w:spacing w:after="0"/>
                    <w:jc w:val="both"/>
                  </w:pPr>
                  <w:r>
                    <w:rPr>
                      <w:rFonts w:ascii="맑은 고딕"/>
                      <w:color w:val="000000"/>
                      <w:sz w:val="18"/>
                    </w:rPr>
                    <w:t>3.  The garden is a small ecosystem that the grower attempts to keep in a specific state, namely the maximization of fruit and vegetable production.</w:t>
                  </w:r>
                </w:p>
              </w:tc>
            </w:tr>
            <w:tr w:rsidR="003047D1" w14:paraId="62DFAAB0" w14:textId="77777777">
              <w:trPr>
                <w:trHeight w:val="75"/>
                <w:tblCellSpacing w:w="0" w:type="dxa"/>
              </w:trPr>
              <w:tc>
                <w:tcPr>
                  <w:tcW w:w="0" w:type="auto"/>
                  <w:vAlign w:val="center"/>
                </w:tcPr>
                <w:p w14:paraId="1FFA5D72" w14:textId="77777777" w:rsidR="003047D1" w:rsidRDefault="00000000">
                  <w:pPr>
                    <w:spacing w:after="0"/>
                    <w:jc w:val="both"/>
                  </w:pPr>
                  <w:r>
                    <w:rPr>
                      <w:rFonts w:ascii="맑은 고딕"/>
                      <w:color w:val="000000"/>
                      <w:sz w:val="18"/>
                    </w:rPr>
                    <w:t>4.  Since maximizing vegetable growth is an inherently unstable state for the ecosystem, the grower is effectively keeping the ball on a slope.</w:t>
                  </w:r>
                </w:p>
              </w:tc>
            </w:tr>
            <w:tr w:rsidR="003047D1" w14:paraId="683A56B2" w14:textId="77777777">
              <w:trPr>
                <w:trHeight w:val="30"/>
                <w:tblCellSpacing w:w="0" w:type="dxa"/>
              </w:trPr>
              <w:tc>
                <w:tcPr>
                  <w:tcW w:w="0" w:type="auto"/>
                  <w:vAlign w:val="center"/>
                </w:tcPr>
                <w:p w14:paraId="39A41EB2" w14:textId="77777777" w:rsidR="003047D1" w:rsidRDefault="003047D1"/>
              </w:tc>
            </w:tr>
            <w:tr w:rsidR="003047D1" w14:paraId="6D039CF9" w14:textId="77777777">
              <w:trPr>
                <w:trHeight w:val="225"/>
                <w:tblCellSpacing w:w="0" w:type="dxa"/>
              </w:trPr>
              <w:tc>
                <w:tcPr>
                  <w:tcW w:w="0" w:type="auto"/>
                  <w:vAlign w:val="center"/>
                </w:tcPr>
                <w:p w14:paraId="211CE82C" w14:textId="77777777" w:rsidR="003047D1" w:rsidRDefault="00000000">
                  <w:pPr>
                    <w:spacing w:after="0"/>
                    <w:jc w:val="both"/>
                  </w:pPr>
                  <w:r>
                    <w:rPr>
                      <w:rFonts w:ascii="맑은 고딕"/>
                      <w:b/>
                      <w:color w:val="00008B"/>
                      <w:sz w:val="16"/>
                    </w:rPr>
                    <w:t>3. p3-no.22</w:t>
                  </w:r>
                </w:p>
              </w:tc>
            </w:tr>
            <w:tr w:rsidR="003047D1" w14:paraId="1979FAB7" w14:textId="77777777">
              <w:trPr>
                <w:trHeight w:val="75"/>
                <w:tblCellSpacing w:w="0" w:type="dxa"/>
              </w:trPr>
              <w:tc>
                <w:tcPr>
                  <w:tcW w:w="0" w:type="auto"/>
                  <w:vAlign w:val="center"/>
                </w:tcPr>
                <w:p w14:paraId="3EA9F71D" w14:textId="77777777" w:rsidR="003047D1" w:rsidRDefault="00000000">
                  <w:pPr>
                    <w:spacing w:after="0"/>
                    <w:jc w:val="both"/>
                  </w:pPr>
                  <w:r>
                    <w:rPr>
                      <w:rFonts w:ascii="맑은 고딕"/>
                      <w:color w:val="000000"/>
                      <w:sz w:val="18"/>
                    </w:rPr>
                    <w:t>5.  Commitments make individuals' behavior predictable in the face of fluctuations in their desires and interests, thereby facilitating the planning and coordination of joint actions involving multiple agents.</w:t>
                  </w:r>
                </w:p>
              </w:tc>
            </w:tr>
            <w:tr w:rsidR="003047D1" w14:paraId="02656DCA" w14:textId="77777777">
              <w:trPr>
                <w:trHeight w:val="75"/>
                <w:tblCellSpacing w:w="0" w:type="dxa"/>
              </w:trPr>
              <w:tc>
                <w:tcPr>
                  <w:tcW w:w="0" w:type="auto"/>
                  <w:vAlign w:val="center"/>
                </w:tcPr>
                <w:p w14:paraId="7793F686" w14:textId="77777777" w:rsidR="003047D1" w:rsidRDefault="00000000">
                  <w:pPr>
                    <w:spacing w:after="0"/>
                    <w:jc w:val="both"/>
                  </w:pPr>
                  <w:r>
                    <w:rPr>
                      <w:rFonts w:ascii="맑은 고딕"/>
                      <w:color w:val="000000"/>
                      <w:sz w:val="18"/>
                    </w:rPr>
                    <w:t>6.  Moreover, commitments make people willing to perform actions that they would not otherwise perform.</w:t>
                  </w:r>
                </w:p>
              </w:tc>
            </w:tr>
            <w:tr w:rsidR="003047D1" w14:paraId="733959A0" w14:textId="77777777">
              <w:trPr>
                <w:trHeight w:val="30"/>
                <w:tblCellSpacing w:w="0" w:type="dxa"/>
              </w:trPr>
              <w:tc>
                <w:tcPr>
                  <w:tcW w:w="0" w:type="auto"/>
                  <w:vAlign w:val="center"/>
                </w:tcPr>
                <w:p w14:paraId="0831A2A5" w14:textId="77777777" w:rsidR="003047D1" w:rsidRDefault="003047D1"/>
              </w:tc>
            </w:tr>
            <w:tr w:rsidR="003047D1" w14:paraId="27A53E9B" w14:textId="77777777">
              <w:trPr>
                <w:trHeight w:val="225"/>
                <w:tblCellSpacing w:w="0" w:type="dxa"/>
              </w:trPr>
              <w:tc>
                <w:tcPr>
                  <w:tcW w:w="0" w:type="auto"/>
                  <w:vAlign w:val="center"/>
                </w:tcPr>
                <w:p w14:paraId="7A303D1B" w14:textId="77777777" w:rsidR="003047D1" w:rsidRDefault="00000000">
                  <w:pPr>
                    <w:spacing w:after="0"/>
                    <w:jc w:val="both"/>
                  </w:pPr>
                  <w:r>
                    <w:rPr>
                      <w:rFonts w:ascii="맑은 고딕"/>
                      <w:b/>
                      <w:color w:val="00008B"/>
                      <w:sz w:val="16"/>
                    </w:rPr>
                    <w:t>4. p3-no.23</w:t>
                  </w:r>
                </w:p>
              </w:tc>
            </w:tr>
            <w:tr w:rsidR="003047D1" w14:paraId="2E23351B" w14:textId="77777777">
              <w:trPr>
                <w:trHeight w:val="75"/>
                <w:tblCellSpacing w:w="0" w:type="dxa"/>
              </w:trPr>
              <w:tc>
                <w:tcPr>
                  <w:tcW w:w="0" w:type="auto"/>
                  <w:vAlign w:val="center"/>
                </w:tcPr>
                <w:p w14:paraId="095F7549" w14:textId="77777777" w:rsidR="003047D1" w:rsidRDefault="00000000">
                  <w:pPr>
                    <w:spacing w:after="0"/>
                    <w:jc w:val="both"/>
                  </w:pPr>
                  <w:r>
                    <w:rPr>
                      <w:rFonts w:ascii="맑은 고딕"/>
                      <w:color w:val="000000"/>
                      <w:sz w:val="18"/>
                    </w:rPr>
                    <w:t>7.  If the brain has already stored someone's face and name, why do we still end up remembering one and not the other?</w:t>
                  </w:r>
                </w:p>
              </w:tc>
            </w:tr>
            <w:tr w:rsidR="003047D1" w14:paraId="3420CA95" w14:textId="77777777">
              <w:trPr>
                <w:trHeight w:val="75"/>
                <w:tblCellSpacing w:w="0" w:type="dxa"/>
              </w:trPr>
              <w:tc>
                <w:tcPr>
                  <w:tcW w:w="0" w:type="auto"/>
                  <w:vAlign w:val="center"/>
                </w:tcPr>
                <w:p w14:paraId="17B92082" w14:textId="77777777" w:rsidR="003047D1" w:rsidRDefault="00000000">
                  <w:pPr>
                    <w:spacing w:after="0"/>
                    <w:jc w:val="both"/>
                  </w:pPr>
                  <w:r>
                    <w:rPr>
                      <w:rFonts w:ascii="맑은 고딕"/>
                      <w:color w:val="000000"/>
                      <w:sz w:val="18"/>
                    </w:rPr>
                    <w:t>8.  Recall is when you can access the original memory of how and why you know this person; recognition is just flagging up the fact that the memory exists.</w:t>
                  </w:r>
                </w:p>
              </w:tc>
            </w:tr>
            <w:tr w:rsidR="003047D1" w14:paraId="075CFC38" w14:textId="77777777">
              <w:trPr>
                <w:trHeight w:val="30"/>
                <w:tblCellSpacing w:w="0" w:type="dxa"/>
              </w:trPr>
              <w:tc>
                <w:tcPr>
                  <w:tcW w:w="0" w:type="auto"/>
                  <w:vAlign w:val="center"/>
                </w:tcPr>
                <w:p w14:paraId="6908882C" w14:textId="77777777" w:rsidR="003047D1" w:rsidRDefault="003047D1"/>
              </w:tc>
            </w:tr>
            <w:tr w:rsidR="003047D1" w14:paraId="0639365C" w14:textId="77777777">
              <w:trPr>
                <w:trHeight w:val="225"/>
                <w:tblCellSpacing w:w="0" w:type="dxa"/>
              </w:trPr>
              <w:tc>
                <w:tcPr>
                  <w:tcW w:w="0" w:type="auto"/>
                  <w:vAlign w:val="center"/>
                </w:tcPr>
                <w:p w14:paraId="1544A9F7" w14:textId="77777777" w:rsidR="003047D1" w:rsidRDefault="00000000">
                  <w:pPr>
                    <w:spacing w:after="0"/>
                    <w:jc w:val="both"/>
                  </w:pPr>
                  <w:r>
                    <w:rPr>
                      <w:rFonts w:ascii="맑은 고딕"/>
                      <w:b/>
                      <w:color w:val="00008B"/>
                      <w:sz w:val="16"/>
                    </w:rPr>
                    <w:t>5. p3-no.24</w:t>
                  </w:r>
                </w:p>
              </w:tc>
            </w:tr>
            <w:tr w:rsidR="003047D1" w14:paraId="4D082F54" w14:textId="77777777">
              <w:trPr>
                <w:trHeight w:val="75"/>
                <w:tblCellSpacing w:w="0" w:type="dxa"/>
              </w:trPr>
              <w:tc>
                <w:tcPr>
                  <w:tcW w:w="0" w:type="auto"/>
                  <w:vAlign w:val="center"/>
                </w:tcPr>
                <w:p w14:paraId="5BE721CA" w14:textId="77777777" w:rsidR="003047D1" w:rsidRDefault="00000000">
                  <w:pPr>
                    <w:spacing w:after="0"/>
                    <w:jc w:val="both"/>
                  </w:pPr>
                  <w:r>
                    <w:rPr>
                      <w:rFonts w:ascii="맑은 고딕"/>
                      <w:color w:val="000000"/>
                      <w:sz w:val="18"/>
                    </w:rPr>
                    <w:t>9.  Each of these issues has been addressed through humour in a way that has helped to make more progressive values more acceptable than previously.</w:t>
                  </w:r>
                </w:p>
              </w:tc>
            </w:tr>
            <w:tr w:rsidR="003047D1" w14:paraId="51B344BF" w14:textId="77777777">
              <w:trPr>
                <w:trHeight w:val="75"/>
                <w:tblCellSpacing w:w="0" w:type="dxa"/>
              </w:trPr>
              <w:tc>
                <w:tcPr>
                  <w:tcW w:w="0" w:type="auto"/>
                  <w:vAlign w:val="center"/>
                </w:tcPr>
                <w:p w14:paraId="4E0C8766" w14:textId="77777777" w:rsidR="003047D1" w:rsidRDefault="00000000">
                  <w:pPr>
                    <w:spacing w:after="0"/>
                    <w:jc w:val="both"/>
                  </w:pPr>
                  <w:r>
                    <w:rPr>
                      <w:rFonts w:ascii="맑은 고딕"/>
                      <w:color w:val="000000"/>
                      <w:sz w:val="18"/>
                    </w:rPr>
                    <w:t>10.  Often a character, usually someone marked as a bigot, resisted one or more of these developments and was then made to appear ridiculous.</w:t>
                  </w:r>
                </w:p>
              </w:tc>
            </w:tr>
            <w:tr w:rsidR="003047D1" w14:paraId="5D24CF53" w14:textId="77777777">
              <w:trPr>
                <w:trHeight w:val="30"/>
                <w:tblCellSpacing w:w="0" w:type="dxa"/>
              </w:trPr>
              <w:tc>
                <w:tcPr>
                  <w:tcW w:w="0" w:type="auto"/>
                  <w:vAlign w:val="center"/>
                </w:tcPr>
                <w:p w14:paraId="6561346B" w14:textId="77777777" w:rsidR="003047D1" w:rsidRDefault="003047D1"/>
              </w:tc>
            </w:tr>
            <w:tr w:rsidR="003047D1" w14:paraId="77D48132" w14:textId="77777777">
              <w:trPr>
                <w:trHeight w:val="225"/>
                <w:tblCellSpacing w:w="0" w:type="dxa"/>
              </w:trPr>
              <w:tc>
                <w:tcPr>
                  <w:tcW w:w="0" w:type="auto"/>
                  <w:vAlign w:val="center"/>
                </w:tcPr>
                <w:p w14:paraId="683296EA" w14:textId="77777777" w:rsidR="003047D1" w:rsidRDefault="00000000">
                  <w:pPr>
                    <w:spacing w:after="0"/>
                    <w:jc w:val="both"/>
                  </w:pPr>
                  <w:r>
                    <w:rPr>
                      <w:rFonts w:ascii="맑은 고딕"/>
                      <w:b/>
                      <w:color w:val="00008B"/>
                      <w:sz w:val="16"/>
                    </w:rPr>
                    <w:t>6. p5-no.29</w:t>
                  </w:r>
                </w:p>
              </w:tc>
            </w:tr>
            <w:tr w:rsidR="003047D1" w14:paraId="334E82CB" w14:textId="77777777">
              <w:trPr>
                <w:trHeight w:val="75"/>
                <w:tblCellSpacing w:w="0" w:type="dxa"/>
              </w:trPr>
              <w:tc>
                <w:tcPr>
                  <w:tcW w:w="0" w:type="auto"/>
                  <w:vAlign w:val="center"/>
                </w:tcPr>
                <w:p w14:paraId="2E6D5479" w14:textId="77777777" w:rsidR="003047D1" w:rsidRDefault="00000000">
                  <w:pPr>
                    <w:spacing w:after="0"/>
                    <w:jc w:val="both"/>
                  </w:pPr>
                  <w:r>
                    <w:rPr>
                      <w:rFonts w:ascii="맑은 고딕"/>
                      <w:color w:val="000000"/>
                      <w:sz w:val="18"/>
                    </w:rPr>
                    <w:t>11.  I suspect that most people view flavor as of secondary importance in social settings where food is served.</w:t>
                  </w:r>
                </w:p>
              </w:tc>
            </w:tr>
            <w:tr w:rsidR="003047D1" w14:paraId="23050BAD" w14:textId="77777777">
              <w:trPr>
                <w:trHeight w:val="75"/>
                <w:tblCellSpacing w:w="0" w:type="dxa"/>
              </w:trPr>
              <w:tc>
                <w:tcPr>
                  <w:tcW w:w="0" w:type="auto"/>
                  <w:vAlign w:val="center"/>
                </w:tcPr>
                <w:p w14:paraId="65FC819B" w14:textId="77777777" w:rsidR="003047D1" w:rsidRDefault="00000000">
                  <w:pPr>
                    <w:spacing w:after="0"/>
                    <w:jc w:val="both"/>
                  </w:pPr>
                  <w:r>
                    <w:rPr>
                      <w:rFonts w:ascii="맑은 고딕"/>
                      <w:color w:val="000000"/>
                      <w:sz w:val="18"/>
                    </w:rPr>
                    <w:lastRenderedPageBreak/>
                    <w:t>12.  Flavor assisting with the narrow purpose of filling the belly, and once that is accomplished it provides the backdrop for whatever social dynamics characterize the gathering.</w:t>
                  </w:r>
                </w:p>
              </w:tc>
            </w:tr>
            <w:tr w:rsidR="003047D1" w14:paraId="21775F02" w14:textId="77777777">
              <w:trPr>
                <w:trHeight w:val="75"/>
                <w:tblCellSpacing w:w="0" w:type="dxa"/>
              </w:trPr>
              <w:tc>
                <w:tcPr>
                  <w:tcW w:w="0" w:type="auto"/>
                  <w:vAlign w:val="center"/>
                </w:tcPr>
                <w:p w14:paraId="139DA2B3" w14:textId="77777777" w:rsidR="003047D1" w:rsidRDefault="00000000">
                  <w:pPr>
                    <w:spacing w:after="0"/>
                    <w:jc w:val="both"/>
                  </w:pPr>
                  <w:r>
                    <w:rPr>
                      <w:rFonts w:ascii="맑은 고딕"/>
                      <w:color w:val="000000"/>
                      <w:sz w:val="18"/>
                    </w:rPr>
                    <w:t>13.  These can be understood independently of the flavor of the food on offer, the appreciation of which is understood to be personal and subjective.</w:t>
                  </w:r>
                </w:p>
              </w:tc>
            </w:tr>
            <w:tr w:rsidR="003047D1" w14:paraId="268D4959" w14:textId="77777777">
              <w:trPr>
                <w:trHeight w:val="30"/>
                <w:tblCellSpacing w:w="0" w:type="dxa"/>
              </w:trPr>
              <w:tc>
                <w:tcPr>
                  <w:tcW w:w="0" w:type="auto"/>
                  <w:vAlign w:val="center"/>
                </w:tcPr>
                <w:p w14:paraId="7B84891E" w14:textId="77777777" w:rsidR="003047D1" w:rsidRDefault="003047D1"/>
              </w:tc>
            </w:tr>
            <w:tr w:rsidR="003047D1" w14:paraId="5EB00B81" w14:textId="77777777">
              <w:trPr>
                <w:trHeight w:val="225"/>
                <w:tblCellSpacing w:w="0" w:type="dxa"/>
              </w:trPr>
              <w:tc>
                <w:tcPr>
                  <w:tcW w:w="0" w:type="auto"/>
                  <w:vAlign w:val="center"/>
                </w:tcPr>
                <w:p w14:paraId="1543A224" w14:textId="77777777" w:rsidR="003047D1" w:rsidRDefault="00000000">
                  <w:pPr>
                    <w:spacing w:after="0"/>
                    <w:jc w:val="both"/>
                  </w:pPr>
                  <w:r>
                    <w:rPr>
                      <w:rFonts w:ascii="맑은 고딕"/>
                      <w:b/>
                      <w:color w:val="00008B"/>
                      <w:sz w:val="16"/>
                    </w:rPr>
                    <w:t>7. p5-no.30</w:t>
                  </w:r>
                </w:p>
              </w:tc>
            </w:tr>
            <w:tr w:rsidR="003047D1" w14:paraId="439691F5" w14:textId="77777777">
              <w:trPr>
                <w:trHeight w:val="75"/>
                <w:tblCellSpacing w:w="0" w:type="dxa"/>
              </w:trPr>
              <w:tc>
                <w:tcPr>
                  <w:tcW w:w="0" w:type="auto"/>
                  <w:vAlign w:val="center"/>
                </w:tcPr>
                <w:p w14:paraId="22B63832" w14:textId="77777777" w:rsidR="003047D1" w:rsidRDefault="00000000">
                  <w:pPr>
                    <w:spacing w:after="0"/>
                    <w:jc w:val="both"/>
                  </w:pPr>
                  <w:r>
                    <w:rPr>
                      <w:rFonts w:ascii="맑은 고딕"/>
                      <w:color w:val="000000"/>
                      <w:sz w:val="18"/>
                    </w:rPr>
                    <w:t>14.  All experts are not the same, nor do they submit their work to the same scrutiny.</w:t>
                  </w:r>
                </w:p>
              </w:tc>
            </w:tr>
            <w:tr w:rsidR="003047D1" w14:paraId="40889C81" w14:textId="77777777">
              <w:trPr>
                <w:trHeight w:val="75"/>
                <w:tblCellSpacing w:w="0" w:type="dxa"/>
              </w:trPr>
              <w:tc>
                <w:tcPr>
                  <w:tcW w:w="0" w:type="auto"/>
                  <w:vAlign w:val="center"/>
                </w:tcPr>
                <w:p w14:paraId="026A3BE6" w14:textId="77777777" w:rsidR="003047D1" w:rsidRDefault="00000000">
                  <w:pPr>
                    <w:spacing w:after="0"/>
                    <w:jc w:val="both"/>
                  </w:pPr>
                  <w:r>
                    <w:rPr>
                      <w:rFonts w:ascii="맑은 고딕"/>
                      <w:color w:val="000000"/>
                      <w:sz w:val="18"/>
                    </w:rPr>
                    <w:t>15.  Their article shaped a generation of changes in eating patterns that appears to have fostered higher use of sugar, now widely implicated as a source of the rise in obesity and diabetes.</w:t>
                  </w:r>
                </w:p>
              </w:tc>
            </w:tr>
            <w:tr w:rsidR="003047D1" w14:paraId="25D9228D" w14:textId="77777777">
              <w:trPr>
                <w:trHeight w:val="75"/>
                <w:tblCellSpacing w:w="0" w:type="dxa"/>
              </w:trPr>
              <w:tc>
                <w:tcPr>
                  <w:tcW w:w="0" w:type="auto"/>
                  <w:vAlign w:val="center"/>
                </w:tcPr>
                <w:p w14:paraId="53E8D250" w14:textId="77777777" w:rsidR="003047D1" w:rsidRDefault="00000000">
                  <w:pPr>
                    <w:spacing w:after="0"/>
                    <w:jc w:val="both"/>
                  </w:pPr>
                  <w:r>
                    <w:rPr>
                      <w:rFonts w:ascii="맑은 고딕"/>
                      <w:color w:val="000000"/>
                      <w:sz w:val="18"/>
                    </w:rPr>
                    <w:t>16.  Funding disclosures, although not required five decades ago, have since been made compulsory.</w:t>
                  </w:r>
                </w:p>
              </w:tc>
            </w:tr>
            <w:tr w:rsidR="003047D1" w14:paraId="640006D6" w14:textId="77777777">
              <w:trPr>
                <w:trHeight w:val="30"/>
                <w:tblCellSpacing w:w="0" w:type="dxa"/>
              </w:trPr>
              <w:tc>
                <w:tcPr>
                  <w:tcW w:w="0" w:type="auto"/>
                  <w:vAlign w:val="center"/>
                </w:tcPr>
                <w:p w14:paraId="160F4CBF" w14:textId="77777777" w:rsidR="003047D1" w:rsidRDefault="003047D1"/>
              </w:tc>
            </w:tr>
            <w:tr w:rsidR="003047D1" w14:paraId="2D079E68" w14:textId="77777777">
              <w:trPr>
                <w:trHeight w:val="225"/>
                <w:tblCellSpacing w:w="0" w:type="dxa"/>
              </w:trPr>
              <w:tc>
                <w:tcPr>
                  <w:tcW w:w="0" w:type="auto"/>
                  <w:vAlign w:val="center"/>
                </w:tcPr>
                <w:p w14:paraId="70133C92" w14:textId="77777777" w:rsidR="003047D1" w:rsidRDefault="00000000">
                  <w:pPr>
                    <w:spacing w:after="0"/>
                    <w:jc w:val="both"/>
                  </w:pPr>
                  <w:r>
                    <w:rPr>
                      <w:rFonts w:ascii="맑은 고딕"/>
                      <w:b/>
                      <w:color w:val="00008B"/>
                      <w:sz w:val="16"/>
                    </w:rPr>
                    <w:t>8. p5-no.31</w:t>
                  </w:r>
                </w:p>
              </w:tc>
            </w:tr>
            <w:tr w:rsidR="003047D1" w14:paraId="08915214" w14:textId="77777777">
              <w:trPr>
                <w:trHeight w:val="75"/>
                <w:tblCellSpacing w:w="0" w:type="dxa"/>
              </w:trPr>
              <w:tc>
                <w:tcPr>
                  <w:tcW w:w="0" w:type="auto"/>
                  <w:vAlign w:val="center"/>
                </w:tcPr>
                <w:p w14:paraId="1854CEE1" w14:textId="77777777" w:rsidR="003047D1" w:rsidRDefault="00000000">
                  <w:pPr>
                    <w:spacing w:after="0"/>
                    <w:jc w:val="both"/>
                  </w:pPr>
                  <w:r>
                    <w:rPr>
                      <w:rFonts w:ascii="맑은 고딕"/>
                      <w:color w:val="000000"/>
                      <w:sz w:val="18"/>
                    </w:rPr>
                    <w:t>17.  This approach led to the punk movement, whose musicians even made it a condition for their music to be non-virtuosic and accessible to all in the 1970s.</w:t>
                  </w:r>
                </w:p>
              </w:tc>
            </w:tr>
            <w:tr w:rsidR="003047D1" w14:paraId="73F26D74" w14:textId="77777777">
              <w:trPr>
                <w:trHeight w:val="75"/>
                <w:tblCellSpacing w:w="0" w:type="dxa"/>
              </w:trPr>
              <w:tc>
                <w:tcPr>
                  <w:tcW w:w="0" w:type="auto"/>
                  <w:vAlign w:val="center"/>
                </w:tcPr>
                <w:p w14:paraId="4A066F8E" w14:textId="77777777" w:rsidR="003047D1" w:rsidRDefault="00000000">
                  <w:pPr>
                    <w:spacing w:after="0"/>
                    <w:jc w:val="both"/>
                  </w:pPr>
                  <w:r>
                    <w:rPr>
                      <w:rFonts w:ascii="맑은 고딕"/>
                      <w:color w:val="000000"/>
                      <w:sz w:val="18"/>
                    </w:rPr>
                    <w:t>18.  Groups who had been entirely excluded from music revelled in opportunities to create.</w:t>
                  </w:r>
                </w:p>
              </w:tc>
            </w:tr>
            <w:tr w:rsidR="003047D1" w14:paraId="4DE4F7B3" w14:textId="77777777">
              <w:trPr>
                <w:trHeight w:val="30"/>
                <w:tblCellSpacing w:w="0" w:type="dxa"/>
              </w:trPr>
              <w:tc>
                <w:tcPr>
                  <w:tcW w:w="0" w:type="auto"/>
                  <w:vAlign w:val="center"/>
                </w:tcPr>
                <w:p w14:paraId="365DF74C" w14:textId="77777777" w:rsidR="003047D1" w:rsidRDefault="003047D1"/>
              </w:tc>
            </w:tr>
            <w:tr w:rsidR="003047D1" w14:paraId="58156342" w14:textId="77777777">
              <w:trPr>
                <w:trHeight w:val="225"/>
                <w:tblCellSpacing w:w="0" w:type="dxa"/>
              </w:trPr>
              <w:tc>
                <w:tcPr>
                  <w:tcW w:w="0" w:type="auto"/>
                  <w:vAlign w:val="center"/>
                </w:tcPr>
                <w:p w14:paraId="63FF66BE" w14:textId="77777777" w:rsidR="003047D1" w:rsidRDefault="00000000">
                  <w:pPr>
                    <w:spacing w:after="0"/>
                    <w:jc w:val="both"/>
                  </w:pPr>
                  <w:r>
                    <w:rPr>
                      <w:rFonts w:ascii="맑은 고딕"/>
                      <w:b/>
                      <w:color w:val="00008B"/>
                      <w:sz w:val="16"/>
                    </w:rPr>
                    <w:t>9. p5-no.32</w:t>
                  </w:r>
                </w:p>
              </w:tc>
            </w:tr>
            <w:tr w:rsidR="003047D1" w14:paraId="25D0FFE6" w14:textId="77777777">
              <w:trPr>
                <w:trHeight w:val="75"/>
                <w:tblCellSpacing w:w="0" w:type="dxa"/>
              </w:trPr>
              <w:tc>
                <w:tcPr>
                  <w:tcW w:w="0" w:type="auto"/>
                  <w:vAlign w:val="center"/>
                </w:tcPr>
                <w:p w14:paraId="478DCBD2" w14:textId="77777777" w:rsidR="003047D1" w:rsidRDefault="00000000">
                  <w:pPr>
                    <w:spacing w:after="0"/>
                    <w:jc w:val="both"/>
                  </w:pPr>
                  <w:r>
                    <w:rPr>
                      <w:rFonts w:ascii="맑은 고딕"/>
                      <w:color w:val="000000"/>
                      <w:sz w:val="18"/>
                    </w:rPr>
                    <w:t>19.  Therefore, future success again goes to those who have had success earlier, not because of advantages offered by the previous success, but because the earlier success was indicative of a hidden talent.</w:t>
                  </w:r>
                </w:p>
              </w:tc>
            </w:tr>
            <w:tr w:rsidR="003047D1" w14:paraId="39FC39EF" w14:textId="77777777">
              <w:trPr>
                <w:trHeight w:val="75"/>
                <w:tblCellSpacing w:w="0" w:type="dxa"/>
              </w:trPr>
              <w:tc>
                <w:tcPr>
                  <w:tcW w:w="0" w:type="auto"/>
                  <w:vAlign w:val="center"/>
                </w:tcPr>
                <w:p w14:paraId="5DF5CE67" w14:textId="77777777" w:rsidR="003047D1" w:rsidRDefault="00000000">
                  <w:pPr>
                    <w:spacing w:after="0"/>
                    <w:jc w:val="both"/>
                  </w:pPr>
                  <w:r>
                    <w:rPr>
                      <w:rFonts w:ascii="맑은 고딕"/>
                      <w:color w:val="000000"/>
                      <w:sz w:val="18"/>
                    </w:rPr>
                    <w:t>20.  The Matthew effect posits that success alone increases the future probability of success, raising the question:</w:t>
                  </w:r>
                </w:p>
              </w:tc>
            </w:tr>
            <w:tr w:rsidR="003047D1" w14:paraId="760612C4" w14:textId="77777777">
              <w:trPr>
                <w:trHeight w:val="30"/>
                <w:tblCellSpacing w:w="0" w:type="dxa"/>
              </w:trPr>
              <w:tc>
                <w:tcPr>
                  <w:tcW w:w="0" w:type="auto"/>
                  <w:vAlign w:val="center"/>
                </w:tcPr>
                <w:p w14:paraId="1C474A9C" w14:textId="77777777" w:rsidR="003047D1" w:rsidRDefault="003047D1"/>
              </w:tc>
            </w:tr>
            <w:tr w:rsidR="003047D1" w14:paraId="58A8E0F1" w14:textId="77777777">
              <w:trPr>
                <w:trHeight w:val="225"/>
                <w:tblCellSpacing w:w="0" w:type="dxa"/>
              </w:trPr>
              <w:tc>
                <w:tcPr>
                  <w:tcW w:w="0" w:type="auto"/>
                  <w:vAlign w:val="center"/>
                </w:tcPr>
                <w:p w14:paraId="620AF013" w14:textId="77777777" w:rsidR="003047D1" w:rsidRDefault="00000000">
                  <w:pPr>
                    <w:spacing w:after="0"/>
                    <w:jc w:val="both"/>
                  </w:pPr>
                  <w:r>
                    <w:rPr>
                      <w:rFonts w:ascii="맑은 고딕"/>
                      <w:b/>
                      <w:color w:val="00008B"/>
                      <w:sz w:val="16"/>
                    </w:rPr>
                    <w:t>10. p6-no.33</w:t>
                  </w:r>
                </w:p>
              </w:tc>
            </w:tr>
            <w:tr w:rsidR="003047D1" w14:paraId="2CFCECAE" w14:textId="77777777">
              <w:trPr>
                <w:trHeight w:val="75"/>
                <w:tblCellSpacing w:w="0" w:type="dxa"/>
              </w:trPr>
              <w:tc>
                <w:tcPr>
                  <w:tcW w:w="0" w:type="auto"/>
                  <w:vAlign w:val="center"/>
                </w:tcPr>
                <w:p w14:paraId="61CA67CC" w14:textId="77777777" w:rsidR="003047D1" w:rsidRDefault="00000000">
                  <w:pPr>
                    <w:spacing w:after="0"/>
                    <w:jc w:val="both"/>
                  </w:pPr>
                  <w:r>
                    <w:rPr>
                      <w:rFonts w:ascii="맑은 고딕"/>
                      <w:color w:val="000000"/>
                      <w:sz w:val="18"/>
                    </w:rPr>
                    <w:t>21.  Such sequences suggest the startling notion that our hands" know" what we're going to say before our conscious minds do, and in fact this is often the case.</w:t>
                  </w:r>
                </w:p>
              </w:tc>
            </w:tr>
            <w:tr w:rsidR="003047D1" w14:paraId="5D1BACF5" w14:textId="77777777">
              <w:trPr>
                <w:trHeight w:val="75"/>
                <w:tblCellSpacing w:w="0" w:type="dxa"/>
              </w:trPr>
              <w:tc>
                <w:tcPr>
                  <w:tcW w:w="0" w:type="auto"/>
                  <w:vAlign w:val="center"/>
                </w:tcPr>
                <w:p w14:paraId="7E109471" w14:textId="77777777" w:rsidR="003047D1" w:rsidRDefault="00000000">
                  <w:pPr>
                    <w:spacing w:after="0"/>
                    <w:jc w:val="both"/>
                  </w:pPr>
                  <w:r>
                    <w:rPr>
                      <w:rFonts w:ascii="맑은 고딕"/>
                      <w:color w:val="000000"/>
                      <w:sz w:val="18"/>
                    </w:rPr>
                    <w:t>22.  When people are prevented from gesturing, they talk less fluently; their speech becomes halting because their hands are no longer able to supply them with the next word, and the next.</w:t>
                  </w:r>
                </w:p>
              </w:tc>
            </w:tr>
            <w:tr w:rsidR="003047D1" w14:paraId="375268F7" w14:textId="77777777">
              <w:trPr>
                <w:trHeight w:val="30"/>
                <w:tblCellSpacing w:w="0" w:type="dxa"/>
              </w:trPr>
              <w:tc>
                <w:tcPr>
                  <w:tcW w:w="0" w:type="auto"/>
                  <w:vAlign w:val="center"/>
                </w:tcPr>
                <w:p w14:paraId="09C7213A" w14:textId="77777777" w:rsidR="003047D1" w:rsidRDefault="003047D1"/>
              </w:tc>
            </w:tr>
            <w:tr w:rsidR="003047D1" w14:paraId="403672F9" w14:textId="77777777">
              <w:trPr>
                <w:trHeight w:val="225"/>
                <w:tblCellSpacing w:w="0" w:type="dxa"/>
              </w:trPr>
              <w:tc>
                <w:tcPr>
                  <w:tcW w:w="0" w:type="auto"/>
                  <w:vAlign w:val="center"/>
                </w:tcPr>
                <w:p w14:paraId="6F919CBA" w14:textId="77777777" w:rsidR="003047D1" w:rsidRDefault="00000000">
                  <w:pPr>
                    <w:spacing w:after="0"/>
                    <w:jc w:val="both"/>
                  </w:pPr>
                  <w:r>
                    <w:rPr>
                      <w:rFonts w:ascii="맑은 고딕"/>
                      <w:b/>
                      <w:color w:val="00008B"/>
                      <w:sz w:val="16"/>
                    </w:rPr>
                    <w:t>11. p6-no.34</w:t>
                  </w:r>
                </w:p>
              </w:tc>
            </w:tr>
            <w:tr w:rsidR="003047D1" w14:paraId="17888F87" w14:textId="77777777">
              <w:trPr>
                <w:trHeight w:val="75"/>
                <w:tblCellSpacing w:w="0" w:type="dxa"/>
              </w:trPr>
              <w:tc>
                <w:tcPr>
                  <w:tcW w:w="0" w:type="auto"/>
                  <w:vAlign w:val="center"/>
                </w:tcPr>
                <w:p w14:paraId="03E5876A" w14:textId="77777777" w:rsidR="003047D1" w:rsidRDefault="00000000">
                  <w:pPr>
                    <w:spacing w:after="0"/>
                    <w:jc w:val="both"/>
                  </w:pPr>
                  <w:r>
                    <w:rPr>
                      <w:rFonts w:ascii="맑은 고딕"/>
                      <w:color w:val="000000"/>
                      <w:sz w:val="18"/>
                    </w:rPr>
                    <w:t>23.  Despite the difference between the past and the future, between what has happened and what is to come, it can be suggested, that our sense of the past has always been influenced by our view of the future.</w:t>
                  </w:r>
                </w:p>
              </w:tc>
            </w:tr>
            <w:tr w:rsidR="003047D1" w14:paraId="58E29E35" w14:textId="77777777">
              <w:trPr>
                <w:trHeight w:val="75"/>
                <w:tblCellSpacing w:w="0" w:type="dxa"/>
              </w:trPr>
              <w:tc>
                <w:tcPr>
                  <w:tcW w:w="0" w:type="auto"/>
                  <w:vAlign w:val="center"/>
                </w:tcPr>
                <w:p w14:paraId="6CF6F359" w14:textId="77777777" w:rsidR="003047D1" w:rsidRDefault="00000000">
                  <w:pPr>
                    <w:spacing w:after="0"/>
                    <w:jc w:val="both"/>
                  </w:pPr>
                  <w:r>
                    <w:rPr>
                      <w:rFonts w:ascii="맑은 고딕"/>
                      <w:color w:val="000000"/>
                      <w:sz w:val="18"/>
                    </w:rPr>
                    <w:t xml:space="preserve">24.  The writing of history is based on understanding or explaining future outcomes that were not known to contemporaries, since the historian has the benefit of hindsight and the past is nothing more than the </w:t>
                  </w:r>
                  <w:r>
                    <w:rPr>
                      <w:rFonts w:ascii="맑은 고딕"/>
                      <w:color w:val="000000"/>
                      <w:sz w:val="18"/>
                    </w:rPr>
                    <w:lastRenderedPageBreak/>
                    <w:t>accumulation of futures that are now our past.</w:t>
                  </w:r>
                </w:p>
              </w:tc>
            </w:tr>
            <w:tr w:rsidR="003047D1" w14:paraId="04C11B76" w14:textId="77777777">
              <w:trPr>
                <w:trHeight w:val="30"/>
                <w:tblCellSpacing w:w="0" w:type="dxa"/>
              </w:trPr>
              <w:tc>
                <w:tcPr>
                  <w:tcW w:w="0" w:type="auto"/>
                  <w:vAlign w:val="center"/>
                </w:tcPr>
                <w:p w14:paraId="08DC4148" w14:textId="77777777" w:rsidR="003047D1" w:rsidRDefault="003047D1"/>
              </w:tc>
            </w:tr>
            <w:tr w:rsidR="003047D1" w14:paraId="68009CDD" w14:textId="77777777">
              <w:trPr>
                <w:trHeight w:val="225"/>
                <w:tblCellSpacing w:w="0" w:type="dxa"/>
              </w:trPr>
              <w:tc>
                <w:tcPr>
                  <w:tcW w:w="0" w:type="auto"/>
                  <w:vAlign w:val="center"/>
                </w:tcPr>
                <w:p w14:paraId="7F472919" w14:textId="77777777" w:rsidR="003047D1" w:rsidRDefault="00000000">
                  <w:pPr>
                    <w:spacing w:after="0"/>
                    <w:jc w:val="both"/>
                  </w:pPr>
                  <w:r>
                    <w:rPr>
                      <w:rFonts w:ascii="맑은 고딕"/>
                      <w:b/>
                      <w:color w:val="00008B"/>
                      <w:sz w:val="16"/>
                    </w:rPr>
                    <w:t>12. p6-no.35</w:t>
                  </w:r>
                </w:p>
              </w:tc>
            </w:tr>
            <w:tr w:rsidR="003047D1" w14:paraId="51DB7C04" w14:textId="77777777">
              <w:trPr>
                <w:trHeight w:val="75"/>
                <w:tblCellSpacing w:w="0" w:type="dxa"/>
              </w:trPr>
              <w:tc>
                <w:tcPr>
                  <w:tcW w:w="0" w:type="auto"/>
                  <w:vAlign w:val="center"/>
                </w:tcPr>
                <w:p w14:paraId="7A8EC2FE" w14:textId="77777777" w:rsidR="003047D1" w:rsidRDefault="00000000">
                  <w:pPr>
                    <w:spacing w:after="0"/>
                    <w:jc w:val="both"/>
                  </w:pPr>
                  <w:r>
                    <w:rPr>
                      <w:rFonts w:ascii="맑은 고딕"/>
                      <w:color w:val="000000"/>
                      <w:sz w:val="18"/>
                    </w:rPr>
                    <w:t>25.  Dictionaries are relatively good resources for anyone interested in finding out what a word means.</w:t>
                  </w:r>
                </w:p>
              </w:tc>
            </w:tr>
            <w:tr w:rsidR="003047D1" w14:paraId="406083C4" w14:textId="77777777">
              <w:trPr>
                <w:trHeight w:val="75"/>
                <w:tblCellSpacing w:w="0" w:type="dxa"/>
              </w:trPr>
              <w:tc>
                <w:tcPr>
                  <w:tcW w:w="0" w:type="auto"/>
                  <w:vAlign w:val="center"/>
                </w:tcPr>
                <w:p w14:paraId="6C3174F3" w14:textId="77777777" w:rsidR="003047D1" w:rsidRDefault="00000000">
                  <w:pPr>
                    <w:spacing w:after="0"/>
                    <w:jc w:val="both"/>
                  </w:pPr>
                  <w:r>
                    <w:rPr>
                      <w:rFonts w:ascii="맑은 고딕"/>
                      <w:color w:val="000000"/>
                      <w:sz w:val="18"/>
                    </w:rPr>
                    <w:t>26.  In other words, a dictionary functions in many cases as a cross-reference or translator between words one knows and words that one doesn't yet know.</w:t>
                  </w:r>
                </w:p>
              </w:tc>
            </w:tr>
            <w:tr w:rsidR="003047D1" w14:paraId="46451415" w14:textId="77777777">
              <w:trPr>
                <w:trHeight w:val="30"/>
                <w:tblCellSpacing w:w="0" w:type="dxa"/>
              </w:trPr>
              <w:tc>
                <w:tcPr>
                  <w:tcW w:w="0" w:type="auto"/>
                  <w:vAlign w:val="center"/>
                </w:tcPr>
                <w:p w14:paraId="51ABC8D9" w14:textId="77777777" w:rsidR="003047D1" w:rsidRDefault="003047D1"/>
              </w:tc>
            </w:tr>
            <w:tr w:rsidR="003047D1" w14:paraId="6983D059" w14:textId="77777777">
              <w:trPr>
                <w:trHeight w:val="225"/>
                <w:tblCellSpacing w:w="0" w:type="dxa"/>
              </w:trPr>
              <w:tc>
                <w:tcPr>
                  <w:tcW w:w="0" w:type="auto"/>
                  <w:vAlign w:val="center"/>
                </w:tcPr>
                <w:p w14:paraId="63204F01" w14:textId="77777777" w:rsidR="003047D1" w:rsidRDefault="00000000">
                  <w:pPr>
                    <w:spacing w:after="0"/>
                    <w:jc w:val="both"/>
                  </w:pPr>
                  <w:r>
                    <w:rPr>
                      <w:rFonts w:ascii="맑은 고딕"/>
                      <w:b/>
                      <w:color w:val="00008B"/>
                      <w:sz w:val="16"/>
                    </w:rPr>
                    <w:t>13. p6-no.36</w:t>
                  </w:r>
                </w:p>
              </w:tc>
            </w:tr>
            <w:tr w:rsidR="003047D1" w14:paraId="32548C2C" w14:textId="77777777">
              <w:trPr>
                <w:trHeight w:val="75"/>
                <w:tblCellSpacing w:w="0" w:type="dxa"/>
              </w:trPr>
              <w:tc>
                <w:tcPr>
                  <w:tcW w:w="0" w:type="auto"/>
                  <w:vAlign w:val="center"/>
                </w:tcPr>
                <w:p w14:paraId="00DCD142" w14:textId="77777777" w:rsidR="003047D1" w:rsidRDefault="00000000">
                  <w:pPr>
                    <w:spacing w:after="0"/>
                    <w:jc w:val="both"/>
                  </w:pPr>
                  <w:r>
                    <w:rPr>
                      <w:rFonts w:ascii="맑은 고딕"/>
                      <w:color w:val="000000"/>
                      <w:sz w:val="18"/>
                    </w:rPr>
                    <w:t>27.  The first issue governments face in achieving national food security is the problem of insuring that adequate amounts of food are available to the resident population.</w:t>
                  </w:r>
                </w:p>
              </w:tc>
            </w:tr>
            <w:tr w:rsidR="003047D1" w14:paraId="34DAD631" w14:textId="77777777">
              <w:trPr>
                <w:trHeight w:val="75"/>
                <w:tblCellSpacing w:w="0" w:type="dxa"/>
              </w:trPr>
              <w:tc>
                <w:tcPr>
                  <w:tcW w:w="0" w:type="auto"/>
                  <w:vAlign w:val="center"/>
                </w:tcPr>
                <w:p w14:paraId="70923A7E" w14:textId="77777777" w:rsidR="003047D1" w:rsidRDefault="00000000">
                  <w:pPr>
                    <w:spacing w:after="0"/>
                    <w:jc w:val="both"/>
                  </w:pPr>
                  <w:r>
                    <w:rPr>
                      <w:rFonts w:ascii="맑은 고딕"/>
                      <w:color w:val="000000"/>
                      <w:sz w:val="18"/>
                    </w:rPr>
                    <w:t>28.  Some governments have set goals of food self-sufficiency, which means most if not all of the food available in a country comes from the domestic farming system.</w:t>
                  </w:r>
                </w:p>
              </w:tc>
            </w:tr>
            <w:tr w:rsidR="003047D1" w14:paraId="2B0FB290" w14:textId="77777777">
              <w:trPr>
                <w:trHeight w:val="75"/>
                <w:tblCellSpacing w:w="0" w:type="dxa"/>
              </w:trPr>
              <w:tc>
                <w:tcPr>
                  <w:tcW w:w="0" w:type="auto"/>
                  <w:vAlign w:val="center"/>
                </w:tcPr>
                <w:p w14:paraId="4A57F2F0" w14:textId="77777777" w:rsidR="003047D1" w:rsidRDefault="00000000">
                  <w:pPr>
                    <w:spacing w:after="0"/>
                    <w:jc w:val="both"/>
                  </w:pPr>
                  <w:r>
                    <w:rPr>
                      <w:rFonts w:ascii="맑은 고딕"/>
                      <w:color w:val="000000"/>
                      <w:sz w:val="18"/>
                    </w:rPr>
                    <w:t>29.  In general, the problem of assuring adequate food supplies is solved by relying on both domestic production and imports.</w:t>
                  </w:r>
                </w:p>
              </w:tc>
            </w:tr>
            <w:tr w:rsidR="003047D1" w14:paraId="4266D2BA" w14:textId="77777777">
              <w:trPr>
                <w:trHeight w:val="30"/>
                <w:tblCellSpacing w:w="0" w:type="dxa"/>
              </w:trPr>
              <w:tc>
                <w:tcPr>
                  <w:tcW w:w="0" w:type="auto"/>
                  <w:vAlign w:val="center"/>
                </w:tcPr>
                <w:p w14:paraId="1441FBD5" w14:textId="77777777" w:rsidR="003047D1" w:rsidRDefault="003047D1"/>
              </w:tc>
            </w:tr>
            <w:tr w:rsidR="003047D1" w14:paraId="3BCCBFB7" w14:textId="77777777">
              <w:trPr>
                <w:trHeight w:val="225"/>
                <w:tblCellSpacing w:w="0" w:type="dxa"/>
              </w:trPr>
              <w:tc>
                <w:tcPr>
                  <w:tcW w:w="0" w:type="auto"/>
                  <w:vAlign w:val="center"/>
                </w:tcPr>
                <w:p w14:paraId="7DAEF3D2" w14:textId="77777777" w:rsidR="003047D1" w:rsidRDefault="00000000">
                  <w:pPr>
                    <w:spacing w:after="0"/>
                    <w:jc w:val="both"/>
                  </w:pPr>
                  <w:r>
                    <w:rPr>
                      <w:rFonts w:ascii="맑은 고딕"/>
                      <w:b/>
                      <w:color w:val="00008B"/>
                      <w:sz w:val="16"/>
                    </w:rPr>
                    <w:t>14. p7-no.37</w:t>
                  </w:r>
                </w:p>
              </w:tc>
            </w:tr>
            <w:tr w:rsidR="003047D1" w14:paraId="12CC2A7B" w14:textId="77777777">
              <w:trPr>
                <w:trHeight w:val="75"/>
                <w:tblCellSpacing w:w="0" w:type="dxa"/>
              </w:trPr>
              <w:tc>
                <w:tcPr>
                  <w:tcW w:w="0" w:type="auto"/>
                  <w:vAlign w:val="center"/>
                </w:tcPr>
                <w:p w14:paraId="38E3B60F" w14:textId="77777777" w:rsidR="003047D1" w:rsidRDefault="00000000">
                  <w:pPr>
                    <w:spacing w:after="0"/>
                    <w:jc w:val="both"/>
                  </w:pPr>
                  <w:r>
                    <w:rPr>
                      <w:rFonts w:ascii="맑은 고딕"/>
                      <w:color w:val="000000"/>
                      <w:sz w:val="18"/>
                    </w:rPr>
                    <w:t>30.  Stress not only affects physical disease but also the very structure of our brains, making us even more likely to experience a drained brain.</w:t>
                  </w:r>
                </w:p>
              </w:tc>
            </w:tr>
            <w:tr w:rsidR="003047D1" w14:paraId="662ADCAC" w14:textId="77777777">
              <w:trPr>
                <w:trHeight w:val="75"/>
                <w:tblCellSpacing w:w="0" w:type="dxa"/>
              </w:trPr>
              <w:tc>
                <w:tcPr>
                  <w:tcW w:w="0" w:type="auto"/>
                  <w:vAlign w:val="center"/>
                </w:tcPr>
                <w:p w14:paraId="3D8659AB" w14:textId="77777777" w:rsidR="003047D1" w:rsidRDefault="00000000">
                  <w:pPr>
                    <w:spacing w:after="0"/>
                    <w:jc w:val="both"/>
                  </w:pPr>
                  <w:r>
                    <w:rPr>
                      <w:rFonts w:ascii="맑은 고딕"/>
                      <w:color w:val="000000"/>
                      <w:sz w:val="18"/>
                    </w:rPr>
                    <w:t>31.  A number of studies have been done to reveal what happens in healthy people's brains when they go through something stressful.</w:t>
                  </w:r>
                </w:p>
              </w:tc>
            </w:tr>
            <w:tr w:rsidR="003047D1" w14:paraId="341C5C04" w14:textId="77777777">
              <w:trPr>
                <w:trHeight w:val="75"/>
                <w:tblCellSpacing w:w="0" w:type="dxa"/>
              </w:trPr>
              <w:tc>
                <w:tcPr>
                  <w:tcW w:w="0" w:type="auto"/>
                  <w:vAlign w:val="center"/>
                </w:tcPr>
                <w:p w14:paraId="15608D60" w14:textId="77777777" w:rsidR="003047D1" w:rsidRDefault="00000000">
                  <w:pPr>
                    <w:spacing w:after="0"/>
                    <w:jc w:val="both"/>
                  </w:pPr>
                  <w:r>
                    <w:rPr>
                      <w:rFonts w:ascii="맑은 고딕"/>
                      <w:color w:val="000000"/>
                      <w:sz w:val="18"/>
                    </w:rPr>
                    <w:t>32.  This part of the brain helps you remain resilient in the face of stress and is involved in mood regulation.</w:t>
                  </w:r>
                </w:p>
              </w:tc>
            </w:tr>
            <w:tr w:rsidR="003047D1" w14:paraId="6946340F" w14:textId="77777777">
              <w:trPr>
                <w:trHeight w:val="30"/>
                <w:tblCellSpacing w:w="0" w:type="dxa"/>
              </w:trPr>
              <w:tc>
                <w:tcPr>
                  <w:tcW w:w="0" w:type="auto"/>
                  <w:vAlign w:val="center"/>
                </w:tcPr>
                <w:p w14:paraId="3F02CB83" w14:textId="77777777" w:rsidR="003047D1" w:rsidRDefault="003047D1"/>
              </w:tc>
            </w:tr>
            <w:tr w:rsidR="003047D1" w14:paraId="77CC7A88" w14:textId="77777777">
              <w:trPr>
                <w:trHeight w:val="225"/>
                <w:tblCellSpacing w:w="0" w:type="dxa"/>
              </w:trPr>
              <w:tc>
                <w:tcPr>
                  <w:tcW w:w="0" w:type="auto"/>
                  <w:vAlign w:val="center"/>
                </w:tcPr>
                <w:p w14:paraId="45480AA0" w14:textId="77777777" w:rsidR="003047D1" w:rsidRDefault="00000000">
                  <w:pPr>
                    <w:spacing w:after="0"/>
                    <w:jc w:val="both"/>
                  </w:pPr>
                  <w:r>
                    <w:rPr>
                      <w:rFonts w:ascii="맑은 고딕"/>
                      <w:b/>
                      <w:color w:val="00008B"/>
                      <w:sz w:val="16"/>
                    </w:rPr>
                    <w:t>15. p7-no.38</w:t>
                  </w:r>
                </w:p>
              </w:tc>
            </w:tr>
            <w:tr w:rsidR="003047D1" w14:paraId="7584C236" w14:textId="77777777">
              <w:trPr>
                <w:trHeight w:val="75"/>
                <w:tblCellSpacing w:w="0" w:type="dxa"/>
              </w:trPr>
              <w:tc>
                <w:tcPr>
                  <w:tcW w:w="0" w:type="auto"/>
                  <w:vAlign w:val="center"/>
                </w:tcPr>
                <w:p w14:paraId="7A85AE83" w14:textId="77777777" w:rsidR="003047D1" w:rsidRDefault="00000000">
                  <w:pPr>
                    <w:spacing w:after="0"/>
                    <w:jc w:val="both"/>
                  </w:pPr>
                  <w:r>
                    <w:rPr>
                      <w:rFonts w:ascii="맑은 고딕"/>
                      <w:color w:val="000000"/>
                      <w:sz w:val="18"/>
                    </w:rPr>
                    <w:t>33.  It is important to recognize that although science is a rule-based procedure, it is very much a creative process.</w:t>
                  </w:r>
                </w:p>
              </w:tc>
            </w:tr>
            <w:tr w:rsidR="003047D1" w14:paraId="16B399B3" w14:textId="77777777">
              <w:trPr>
                <w:trHeight w:val="75"/>
                <w:tblCellSpacing w:w="0" w:type="dxa"/>
              </w:trPr>
              <w:tc>
                <w:tcPr>
                  <w:tcW w:w="0" w:type="auto"/>
                  <w:vAlign w:val="center"/>
                </w:tcPr>
                <w:p w14:paraId="011B7DBE" w14:textId="77777777" w:rsidR="003047D1" w:rsidRDefault="00000000">
                  <w:pPr>
                    <w:spacing w:after="0"/>
                    <w:jc w:val="both"/>
                  </w:pPr>
                  <w:r>
                    <w:rPr>
                      <w:rFonts w:ascii="맑은 고딕"/>
                      <w:color w:val="000000"/>
                      <w:sz w:val="18"/>
                    </w:rPr>
                    <w:t>34.  A conjecture is a philosophical invention, cooked up rather mystically by the mind through the mental computation we call careful contemplation.</w:t>
                  </w:r>
                </w:p>
              </w:tc>
            </w:tr>
            <w:tr w:rsidR="003047D1" w14:paraId="681BA3C0" w14:textId="77777777">
              <w:trPr>
                <w:trHeight w:val="75"/>
                <w:tblCellSpacing w:w="0" w:type="dxa"/>
              </w:trPr>
              <w:tc>
                <w:tcPr>
                  <w:tcW w:w="0" w:type="auto"/>
                  <w:vAlign w:val="center"/>
                </w:tcPr>
                <w:p w14:paraId="031C19EF" w14:textId="77777777" w:rsidR="003047D1" w:rsidRDefault="00000000">
                  <w:pPr>
                    <w:spacing w:after="0"/>
                    <w:jc w:val="both"/>
                  </w:pPr>
                  <w:r>
                    <w:rPr>
                      <w:rFonts w:ascii="맑은 고딕"/>
                      <w:color w:val="000000"/>
                      <w:sz w:val="18"/>
                    </w:rPr>
                    <w:t>35.  It is what is left over after cycles of experimental testing have eliminated false theories.</w:t>
                  </w:r>
                </w:p>
              </w:tc>
            </w:tr>
            <w:tr w:rsidR="003047D1" w14:paraId="6C7F8E0B" w14:textId="77777777">
              <w:trPr>
                <w:trHeight w:val="30"/>
                <w:tblCellSpacing w:w="0" w:type="dxa"/>
              </w:trPr>
              <w:tc>
                <w:tcPr>
                  <w:tcW w:w="0" w:type="auto"/>
                  <w:vAlign w:val="center"/>
                </w:tcPr>
                <w:p w14:paraId="0765EE9C" w14:textId="77777777" w:rsidR="003047D1" w:rsidRDefault="003047D1"/>
              </w:tc>
            </w:tr>
            <w:tr w:rsidR="003047D1" w14:paraId="659D9506" w14:textId="77777777">
              <w:trPr>
                <w:trHeight w:val="225"/>
                <w:tblCellSpacing w:w="0" w:type="dxa"/>
              </w:trPr>
              <w:tc>
                <w:tcPr>
                  <w:tcW w:w="0" w:type="auto"/>
                  <w:vAlign w:val="center"/>
                </w:tcPr>
                <w:p w14:paraId="74791EC0" w14:textId="77777777" w:rsidR="003047D1" w:rsidRDefault="00000000">
                  <w:pPr>
                    <w:spacing w:after="0"/>
                    <w:jc w:val="both"/>
                  </w:pPr>
                  <w:r>
                    <w:rPr>
                      <w:rFonts w:ascii="맑은 고딕"/>
                      <w:b/>
                      <w:color w:val="00008B"/>
                      <w:sz w:val="16"/>
                    </w:rPr>
                    <w:t>16. p7-no.39</w:t>
                  </w:r>
                </w:p>
              </w:tc>
            </w:tr>
            <w:tr w:rsidR="003047D1" w14:paraId="457800C8" w14:textId="77777777">
              <w:trPr>
                <w:trHeight w:val="75"/>
                <w:tblCellSpacing w:w="0" w:type="dxa"/>
              </w:trPr>
              <w:tc>
                <w:tcPr>
                  <w:tcW w:w="0" w:type="auto"/>
                  <w:vAlign w:val="center"/>
                </w:tcPr>
                <w:p w14:paraId="696AE8F5" w14:textId="77777777" w:rsidR="003047D1" w:rsidRDefault="00000000">
                  <w:pPr>
                    <w:spacing w:after="0"/>
                    <w:jc w:val="both"/>
                  </w:pPr>
                  <w:r>
                    <w:rPr>
                      <w:rFonts w:ascii="맑은 고딕"/>
                      <w:color w:val="000000"/>
                      <w:sz w:val="18"/>
                    </w:rPr>
                    <w:t>36.  As a general rule, it's better if your definition corresponds as closely as possible to the way in which the term is ordinarily used in the kinds of debates to which your claims are pertinent.</w:t>
                  </w:r>
                </w:p>
              </w:tc>
            </w:tr>
            <w:tr w:rsidR="003047D1" w14:paraId="75C7BE30" w14:textId="77777777">
              <w:trPr>
                <w:trHeight w:val="75"/>
                <w:tblCellSpacing w:w="0" w:type="dxa"/>
              </w:trPr>
              <w:tc>
                <w:tcPr>
                  <w:tcW w:w="0" w:type="auto"/>
                  <w:vAlign w:val="center"/>
                </w:tcPr>
                <w:p w14:paraId="27C2C336" w14:textId="77777777" w:rsidR="003047D1" w:rsidRDefault="00000000">
                  <w:pPr>
                    <w:spacing w:after="0"/>
                    <w:jc w:val="both"/>
                  </w:pPr>
                  <w:r>
                    <w:rPr>
                      <w:rFonts w:ascii="맑은 고딕"/>
                      <w:color w:val="000000"/>
                      <w:sz w:val="18"/>
                    </w:rPr>
                    <w:t>37.  There will be, however, occasions where it is appropriate, even necessary, to coin special uses through what philosophers call stimulative definition.</w:t>
                  </w:r>
                </w:p>
              </w:tc>
            </w:tr>
            <w:tr w:rsidR="003047D1" w14:paraId="234BA6CB" w14:textId="77777777">
              <w:trPr>
                <w:trHeight w:val="75"/>
                <w:tblCellSpacing w:w="0" w:type="dxa"/>
              </w:trPr>
              <w:tc>
                <w:tcPr>
                  <w:tcW w:w="0" w:type="auto"/>
                  <w:vAlign w:val="center"/>
                </w:tcPr>
                <w:p w14:paraId="0AD833E6" w14:textId="77777777" w:rsidR="003047D1" w:rsidRDefault="00000000">
                  <w:pPr>
                    <w:spacing w:after="0"/>
                    <w:jc w:val="both"/>
                  </w:pPr>
                  <w:r>
                    <w:rPr>
                      <w:rFonts w:ascii="맑은 고딕"/>
                      <w:color w:val="000000"/>
                      <w:sz w:val="18"/>
                    </w:rPr>
                    <w:lastRenderedPageBreak/>
                    <w:t>38.  This would be the case where the current lexicon is not able to make distinctions that you think are philosophically important.</w:t>
                  </w:r>
                </w:p>
              </w:tc>
            </w:tr>
            <w:tr w:rsidR="003047D1" w14:paraId="4D69318E" w14:textId="77777777">
              <w:trPr>
                <w:trHeight w:val="75"/>
                <w:tblCellSpacing w:w="0" w:type="dxa"/>
              </w:trPr>
              <w:tc>
                <w:tcPr>
                  <w:tcW w:w="0" w:type="auto"/>
                  <w:vAlign w:val="center"/>
                </w:tcPr>
                <w:p w14:paraId="284A81FB" w14:textId="77777777" w:rsidR="003047D1" w:rsidRDefault="00000000">
                  <w:pPr>
                    <w:spacing w:after="0"/>
                    <w:jc w:val="both"/>
                  </w:pPr>
                  <w:r>
                    <w:rPr>
                      <w:rFonts w:ascii="맑은 고딕"/>
                      <w:color w:val="000000"/>
                      <w:sz w:val="18"/>
                    </w:rPr>
                    <w:t>39.  For example, we do not have a term in ordinary language that describes a memory that is not necessarily a memory of something the person having it has experienced.</w:t>
                  </w:r>
                </w:p>
              </w:tc>
            </w:tr>
            <w:tr w:rsidR="003047D1" w14:paraId="0883ADE2" w14:textId="77777777">
              <w:trPr>
                <w:trHeight w:val="30"/>
                <w:tblCellSpacing w:w="0" w:type="dxa"/>
              </w:trPr>
              <w:tc>
                <w:tcPr>
                  <w:tcW w:w="0" w:type="auto"/>
                  <w:vAlign w:val="center"/>
                </w:tcPr>
                <w:p w14:paraId="579EF757" w14:textId="77777777" w:rsidR="003047D1" w:rsidRDefault="003047D1"/>
              </w:tc>
            </w:tr>
            <w:tr w:rsidR="003047D1" w14:paraId="5EDD53DB" w14:textId="77777777">
              <w:trPr>
                <w:trHeight w:val="225"/>
                <w:tblCellSpacing w:w="0" w:type="dxa"/>
              </w:trPr>
              <w:tc>
                <w:tcPr>
                  <w:tcW w:w="0" w:type="auto"/>
                  <w:vAlign w:val="center"/>
                </w:tcPr>
                <w:p w14:paraId="3EB27272" w14:textId="77777777" w:rsidR="003047D1" w:rsidRDefault="00000000">
                  <w:pPr>
                    <w:spacing w:after="0"/>
                    <w:jc w:val="both"/>
                  </w:pPr>
                  <w:r>
                    <w:rPr>
                      <w:rFonts w:ascii="맑은 고딕"/>
                      <w:b/>
                      <w:color w:val="00008B"/>
                      <w:sz w:val="16"/>
                    </w:rPr>
                    <w:t>17. p7-no.40</w:t>
                  </w:r>
                </w:p>
              </w:tc>
            </w:tr>
            <w:tr w:rsidR="003047D1" w14:paraId="1535D5C9" w14:textId="77777777">
              <w:trPr>
                <w:trHeight w:val="75"/>
                <w:tblCellSpacing w:w="0" w:type="dxa"/>
              </w:trPr>
              <w:tc>
                <w:tcPr>
                  <w:tcW w:w="0" w:type="auto"/>
                  <w:vAlign w:val="center"/>
                </w:tcPr>
                <w:p w14:paraId="6BE6ED98" w14:textId="77777777" w:rsidR="003047D1" w:rsidRDefault="00000000">
                  <w:pPr>
                    <w:spacing w:after="0"/>
                    <w:jc w:val="both"/>
                  </w:pPr>
                  <w:r>
                    <w:rPr>
                      <w:rFonts w:ascii="맑은 고딕"/>
                      <w:color w:val="000000"/>
                      <w:sz w:val="18"/>
                    </w:rPr>
                    <w:t>40.  Quite often the interaction between groups is socially unequal, and this is reflected in the fact that in many cases borrowing of words or constructions goes mostly or entirely in one direction, from the more powerful or prestigious group to the less favored one.</w:t>
                  </w:r>
                </w:p>
              </w:tc>
            </w:tr>
            <w:tr w:rsidR="003047D1" w14:paraId="2559A112" w14:textId="77777777">
              <w:trPr>
                <w:trHeight w:val="75"/>
                <w:tblCellSpacing w:w="0" w:type="dxa"/>
              </w:trPr>
              <w:tc>
                <w:tcPr>
                  <w:tcW w:w="0" w:type="auto"/>
                  <w:vAlign w:val="center"/>
                </w:tcPr>
                <w:p w14:paraId="4D573358" w14:textId="77777777" w:rsidR="003047D1" w:rsidRDefault="00000000">
                  <w:pPr>
                    <w:spacing w:after="0"/>
                    <w:jc w:val="both"/>
                  </w:pPr>
                  <w:r>
                    <w:rPr>
                      <w:rFonts w:ascii="맑은 고딕"/>
                      <w:color w:val="000000"/>
                      <w:sz w:val="18"/>
                    </w:rPr>
                    <w:t>41.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w:t>
                  </w:r>
                </w:p>
              </w:tc>
            </w:tr>
            <w:tr w:rsidR="003047D1" w14:paraId="5830D4AD" w14:textId="77777777">
              <w:trPr>
                <w:trHeight w:val="30"/>
                <w:tblCellSpacing w:w="0" w:type="dxa"/>
              </w:trPr>
              <w:tc>
                <w:tcPr>
                  <w:tcW w:w="0" w:type="auto"/>
                  <w:vAlign w:val="center"/>
                </w:tcPr>
                <w:p w14:paraId="7A84EACE" w14:textId="77777777" w:rsidR="003047D1" w:rsidRDefault="003047D1"/>
              </w:tc>
            </w:tr>
            <w:tr w:rsidR="003047D1" w14:paraId="2F6D5FC4" w14:textId="77777777">
              <w:trPr>
                <w:trHeight w:val="225"/>
                <w:tblCellSpacing w:w="0" w:type="dxa"/>
              </w:trPr>
              <w:tc>
                <w:tcPr>
                  <w:tcW w:w="0" w:type="auto"/>
                  <w:vAlign w:val="center"/>
                </w:tcPr>
                <w:p w14:paraId="645BC3A4" w14:textId="77777777" w:rsidR="003047D1" w:rsidRDefault="00000000">
                  <w:pPr>
                    <w:spacing w:after="0"/>
                    <w:jc w:val="both"/>
                  </w:pPr>
                  <w:r>
                    <w:rPr>
                      <w:rFonts w:ascii="맑은 고딕"/>
                      <w:b/>
                      <w:color w:val="00008B"/>
                      <w:sz w:val="16"/>
                    </w:rPr>
                    <w:t>18. p8-no.41~42</w:t>
                  </w:r>
                </w:p>
              </w:tc>
            </w:tr>
            <w:tr w:rsidR="003047D1" w14:paraId="1B5C3DFB" w14:textId="77777777">
              <w:trPr>
                <w:trHeight w:val="75"/>
                <w:tblCellSpacing w:w="0" w:type="dxa"/>
              </w:trPr>
              <w:tc>
                <w:tcPr>
                  <w:tcW w:w="0" w:type="auto"/>
                  <w:vAlign w:val="center"/>
                </w:tcPr>
                <w:p w14:paraId="11FFBF58" w14:textId="77777777" w:rsidR="003047D1" w:rsidRDefault="00000000">
                  <w:pPr>
                    <w:spacing w:after="0"/>
                    <w:jc w:val="both"/>
                  </w:pPr>
                  <w:r>
                    <w:rPr>
                      <w:rFonts w:ascii="맑은 고딕"/>
                      <w:color w:val="000000"/>
                      <w:sz w:val="18"/>
                    </w:rPr>
                    <w:t>42.  But the technological advances of suppliers made electric systems and electric motors ever more affordable and reliable, and the suppliers' intensive marketing programs also sped the adoption of the new technology.</w:t>
                  </w:r>
                </w:p>
              </w:tc>
            </w:tr>
            <w:tr w:rsidR="003047D1" w14:paraId="0D4348BD" w14:textId="77777777">
              <w:trPr>
                <w:trHeight w:val="75"/>
                <w:tblCellSpacing w:w="0" w:type="dxa"/>
              </w:trPr>
              <w:tc>
                <w:tcPr>
                  <w:tcW w:w="0" w:type="auto"/>
                  <w:vAlign w:val="center"/>
                </w:tcPr>
                <w:p w14:paraId="3CC283B3" w14:textId="77777777" w:rsidR="003047D1" w:rsidRDefault="00000000">
                  <w:pPr>
                    <w:spacing w:after="0"/>
                    <w:jc w:val="both"/>
                  </w:pPr>
                  <w:r>
                    <w:rPr>
                      <w:rFonts w:ascii="맑은 고딕"/>
                      <w:color w:val="000000"/>
                      <w:sz w:val="18"/>
                    </w:rPr>
                    <w:t>43.  Designed to supply lighting to local homes and shops, the central stations had neither the size nor the skill to serve the needs of big factories.</w:t>
                  </w:r>
                </w:p>
              </w:tc>
            </w:tr>
            <w:tr w:rsidR="003047D1" w14:paraId="61429F12" w14:textId="77777777">
              <w:trPr>
                <w:trHeight w:val="75"/>
                <w:tblCellSpacing w:w="0" w:type="dxa"/>
              </w:trPr>
              <w:tc>
                <w:tcPr>
                  <w:tcW w:w="0" w:type="auto"/>
                  <w:vAlign w:val="center"/>
                </w:tcPr>
                <w:p w14:paraId="694A44E9" w14:textId="77777777" w:rsidR="003047D1" w:rsidRDefault="00000000">
                  <w:pPr>
                    <w:spacing w:after="0"/>
                    <w:jc w:val="both"/>
                  </w:pPr>
                  <w:r>
                    <w:rPr>
                      <w:rFonts w:ascii="맑은 고딕"/>
                      <w:color w:val="000000"/>
                      <w:sz w:val="18"/>
                    </w:rPr>
                    <w:t>44.  And the factory owners, having always supplied their own power, were loath to assign such a critical function to an outsider.</w:t>
                  </w:r>
                </w:p>
              </w:tc>
            </w:tr>
            <w:tr w:rsidR="003047D1" w14:paraId="6E23B7EC" w14:textId="77777777">
              <w:trPr>
                <w:trHeight w:val="75"/>
                <w:tblCellSpacing w:w="0" w:type="dxa"/>
              </w:trPr>
              <w:tc>
                <w:tcPr>
                  <w:tcW w:w="0" w:type="auto"/>
                  <w:vAlign w:val="center"/>
                </w:tcPr>
                <w:p w14:paraId="53DD5C1D" w14:textId="77777777" w:rsidR="003047D1" w:rsidRDefault="00000000">
                  <w:pPr>
                    <w:spacing w:after="0"/>
                    <w:jc w:val="both"/>
                  </w:pPr>
                  <w:r>
                    <w:rPr>
                      <w:rFonts w:ascii="맑은 고딕"/>
                      <w:color w:val="000000"/>
                      <w:sz w:val="18"/>
                    </w:rPr>
                    <w:t>45.  As the new century began, a survey found that there were already 50,000 private electric plants in operation, far surpassing the 3,600 central stations.</w:t>
                  </w:r>
                </w:p>
              </w:tc>
            </w:tr>
          </w:tbl>
          <w:p w14:paraId="6B53CE72" w14:textId="77777777" w:rsidR="003047D1" w:rsidRDefault="003047D1"/>
        </w:tc>
      </w:tr>
    </w:tbl>
    <w:p w14:paraId="3E640891" w14:textId="77777777" w:rsidR="009353F1" w:rsidRDefault="009353F1"/>
    <w:sectPr w:rsidR="009353F1">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1488763">
    <w:abstractNumId w:val="1"/>
  </w:num>
  <w:num w:numId="2" w16cid:durableId="181143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D1"/>
    <w:rsid w:val="003047D1"/>
    <w:rsid w:val="009353F1"/>
    <w:rsid w:val="00A8102C"/>
    <w:rsid w:val="00C410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A43C56"/>
  <w15:docId w15:val="{6F222A61-DD37-434E-A771-B26C5746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2025-03-31T08:22:00Z</dcterms:created>
  <dcterms:modified xsi:type="dcterms:W3CDTF">2025-03-31T08:22:00Z</dcterms:modified>
</cp:coreProperties>
</file>