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9027"/>
      </w:tblGrid>
      <w:tr w:rsidR="0066384C" w14:paraId="2BC24A7C" w14:textId="77777777">
        <w:trPr>
          <w:trHeight w:val="150"/>
          <w:tblCellSpacing w:w="0" w:type="dxa"/>
        </w:trPr>
        <w:tc>
          <w:tcPr>
            <w:tcW w:w="14400" w:type="dxa"/>
            <w:vAlign w:val="center"/>
          </w:tcPr>
          <w:p w14:paraId="0F00C640" w14:textId="77777777" w:rsidR="0066384C" w:rsidRDefault="00000000">
            <w:pPr>
              <w:spacing w:after="0"/>
              <w:rPr>
                <w:lang w:eastAsia="ko-KR"/>
              </w:rPr>
            </w:pPr>
            <w:r>
              <w:rPr>
                <w:rFonts w:ascii="맑은 고딕"/>
                <w:color w:val="000000"/>
                <w:sz w:val="16"/>
                <w:lang w:eastAsia="ko-KR"/>
              </w:rPr>
              <w:t>고1_2025_03월(서울시) - 읽기영역(18~45번)</w:t>
            </w:r>
          </w:p>
        </w:tc>
      </w:tr>
      <w:tr w:rsidR="0066384C" w14:paraId="212A7101" w14:textId="77777777">
        <w:trPr>
          <w:trHeight w:val="615"/>
          <w:tblCellSpacing w:w="0" w:type="dxa"/>
        </w:trPr>
        <w:tc>
          <w:tcPr>
            <w:tcW w:w="14400" w:type="dxa"/>
            <w:tcBorders>
              <w:top w:val="single" w:sz="8" w:space="0" w:color="DADADA"/>
            </w:tcBorders>
            <w:shd w:val="clear" w:color="auto" w:fill="BDD6EE"/>
            <w:vAlign w:val="center"/>
          </w:tcPr>
          <w:p w14:paraId="57B04A97" w14:textId="77777777" w:rsidR="0066384C" w:rsidRDefault="00000000">
            <w:pPr>
              <w:spacing w:after="0"/>
              <w:jc w:val="center"/>
            </w:pPr>
            <w:r>
              <w:rPr>
                <w:rFonts w:ascii="맑은 고딕"/>
                <w:color w:val="00008B"/>
                <w:sz w:val="16"/>
              </w:rPr>
              <w:t>낱말배열 (정답지)</w:t>
            </w:r>
          </w:p>
        </w:tc>
      </w:tr>
      <w:tr w:rsidR="0066384C" w14:paraId="4F7AD237" w14:textId="77777777">
        <w:trPr>
          <w:trHeight w:val="75"/>
          <w:tblCellSpacing w:w="0" w:type="dxa"/>
        </w:trPr>
        <w:tc>
          <w:tcPr>
            <w:tcW w:w="14400" w:type="dxa"/>
          </w:tcPr>
          <w:tbl>
            <w:tblPr>
              <w:tblW w:w="0" w:type="auto"/>
              <w:tblCellSpacing w:w="0" w:type="dxa"/>
              <w:tblLook w:val="04A0" w:firstRow="1" w:lastRow="0" w:firstColumn="1" w:lastColumn="0" w:noHBand="0" w:noVBand="1"/>
            </w:tblPr>
            <w:tblGrid>
              <w:gridCol w:w="8811"/>
            </w:tblGrid>
            <w:tr w:rsidR="0066384C" w14:paraId="05DED701" w14:textId="77777777">
              <w:trPr>
                <w:trHeight w:val="225"/>
                <w:tblCellSpacing w:w="0" w:type="dxa"/>
              </w:trPr>
              <w:tc>
                <w:tcPr>
                  <w:tcW w:w="0" w:type="auto"/>
                  <w:vAlign w:val="center"/>
                </w:tcPr>
                <w:p w14:paraId="743DE749" w14:textId="77777777" w:rsidR="0066384C" w:rsidRDefault="00000000">
                  <w:pPr>
                    <w:spacing w:after="0"/>
                    <w:jc w:val="both"/>
                  </w:pPr>
                  <w:r>
                    <w:rPr>
                      <w:rFonts w:ascii="맑은 고딕"/>
                      <w:b/>
                      <w:color w:val="00008B"/>
                      <w:sz w:val="16"/>
                    </w:rPr>
                    <w:t>1. p2-no.20</w:t>
                  </w:r>
                </w:p>
              </w:tc>
            </w:tr>
            <w:tr w:rsidR="0066384C" w14:paraId="62B99704" w14:textId="77777777">
              <w:trPr>
                <w:trHeight w:val="75"/>
                <w:tblCellSpacing w:w="0" w:type="dxa"/>
              </w:trPr>
              <w:tc>
                <w:tcPr>
                  <w:tcW w:w="0" w:type="auto"/>
                  <w:vAlign w:val="center"/>
                </w:tcPr>
                <w:p w14:paraId="50EB0207" w14:textId="77777777" w:rsidR="0066384C" w:rsidRDefault="00000000">
                  <w:pPr>
                    <w:spacing w:after="0"/>
                    <w:jc w:val="both"/>
                  </w:pPr>
                  <w:r>
                    <w:rPr>
                      <w:rFonts w:ascii="맑은 고딕"/>
                      <w:color w:val="000000"/>
                      <w:sz w:val="18"/>
                    </w:rPr>
                    <w:t>1.  You invite openness and collaboration when you speak with your palms facing up.</w:t>
                  </w:r>
                </w:p>
              </w:tc>
            </w:tr>
            <w:tr w:rsidR="0066384C" w14:paraId="1FB81F7D" w14:textId="77777777">
              <w:trPr>
                <w:trHeight w:val="75"/>
                <w:tblCellSpacing w:w="0" w:type="dxa"/>
              </w:trPr>
              <w:tc>
                <w:tcPr>
                  <w:tcW w:w="0" w:type="auto"/>
                  <w:vAlign w:val="center"/>
                </w:tcPr>
                <w:p w14:paraId="04E35171" w14:textId="77777777" w:rsidR="0066384C" w:rsidRDefault="00000000">
                  <w:pPr>
                    <w:spacing w:after="0"/>
                    <w:jc w:val="both"/>
                  </w:pPr>
                  <w:r>
                    <w:rPr>
                      <w:rFonts w:ascii="맑은 고딕"/>
                      <w:color w:val="000000"/>
                      <w:sz w:val="18"/>
                    </w:rPr>
                    <w:t>2.  This simple yet powerful gesture can make others feel more comfortable and willing to engage in conversation.</w:t>
                  </w:r>
                </w:p>
              </w:tc>
            </w:tr>
            <w:tr w:rsidR="0066384C" w14:paraId="1A1E8395" w14:textId="77777777">
              <w:trPr>
                <w:trHeight w:val="75"/>
                <w:tblCellSpacing w:w="0" w:type="dxa"/>
              </w:trPr>
              <w:tc>
                <w:tcPr>
                  <w:tcW w:w="0" w:type="auto"/>
                  <w:vAlign w:val="center"/>
                </w:tcPr>
                <w:p w14:paraId="759CC42A" w14:textId="77777777" w:rsidR="0066384C" w:rsidRDefault="00000000">
                  <w:pPr>
                    <w:spacing w:after="0"/>
                    <w:jc w:val="both"/>
                  </w:pPr>
                  <w:r>
                    <w:rPr>
                      <w:rFonts w:ascii="맑은 고딕"/>
                      <w:color w:val="000000"/>
                      <w:sz w:val="18"/>
                    </w:rPr>
                    <w:t>3.  Imagine a speaker whose hands move quickly like birds, their message lost in the chaos of their gestures.</w:t>
                  </w:r>
                </w:p>
              </w:tc>
            </w:tr>
            <w:tr w:rsidR="0066384C" w14:paraId="740B7E82" w14:textId="77777777">
              <w:trPr>
                <w:trHeight w:val="30"/>
                <w:tblCellSpacing w:w="0" w:type="dxa"/>
              </w:trPr>
              <w:tc>
                <w:tcPr>
                  <w:tcW w:w="0" w:type="auto"/>
                  <w:vAlign w:val="center"/>
                </w:tcPr>
                <w:p w14:paraId="1FAABC6E" w14:textId="77777777" w:rsidR="0066384C" w:rsidRDefault="0066384C"/>
              </w:tc>
            </w:tr>
            <w:tr w:rsidR="0066384C" w14:paraId="5ED11D67" w14:textId="77777777">
              <w:trPr>
                <w:trHeight w:val="225"/>
                <w:tblCellSpacing w:w="0" w:type="dxa"/>
              </w:trPr>
              <w:tc>
                <w:tcPr>
                  <w:tcW w:w="0" w:type="auto"/>
                  <w:vAlign w:val="center"/>
                </w:tcPr>
                <w:p w14:paraId="7801240E" w14:textId="77777777" w:rsidR="0066384C" w:rsidRDefault="00000000">
                  <w:pPr>
                    <w:spacing w:after="0"/>
                    <w:jc w:val="both"/>
                  </w:pPr>
                  <w:r>
                    <w:rPr>
                      <w:rFonts w:ascii="맑은 고딕"/>
                      <w:b/>
                      <w:color w:val="00008B"/>
                      <w:sz w:val="16"/>
                    </w:rPr>
                    <w:t>2. p3-no.21</w:t>
                  </w:r>
                </w:p>
              </w:tc>
            </w:tr>
            <w:tr w:rsidR="0066384C" w14:paraId="2069ED07" w14:textId="77777777">
              <w:trPr>
                <w:trHeight w:val="75"/>
                <w:tblCellSpacing w:w="0" w:type="dxa"/>
              </w:trPr>
              <w:tc>
                <w:tcPr>
                  <w:tcW w:w="0" w:type="auto"/>
                  <w:vAlign w:val="center"/>
                </w:tcPr>
                <w:p w14:paraId="1761DD0D" w14:textId="77777777" w:rsidR="0066384C" w:rsidRDefault="00000000">
                  <w:pPr>
                    <w:spacing w:after="0"/>
                    <w:jc w:val="both"/>
                  </w:pPr>
                  <w:r>
                    <w:rPr>
                      <w:rFonts w:ascii="맑은 고딕"/>
                      <w:color w:val="000000"/>
                      <w:sz w:val="18"/>
                    </w:rPr>
                    <w:t>4.  Assuming gene editing in humans proves to be safe and effective, it might seem logical, even preferable, to correct disease-causing mutations at the earliest possible stage of life, before harmful genes begin causing serious problems.</w:t>
                  </w:r>
                </w:p>
              </w:tc>
            </w:tr>
            <w:tr w:rsidR="0066384C" w14:paraId="76AD0416" w14:textId="77777777">
              <w:trPr>
                <w:trHeight w:val="30"/>
                <w:tblCellSpacing w:w="0" w:type="dxa"/>
              </w:trPr>
              <w:tc>
                <w:tcPr>
                  <w:tcW w:w="0" w:type="auto"/>
                  <w:vAlign w:val="center"/>
                </w:tcPr>
                <w:p w14:paraId="1AB6ECF4" w14:textId="77777777" w:rsidR="0066384C" w:rsidRDefault="0066384C"/>
              </w:tc>
            </w:tr>
            <w:tr w:rsidR="0066384C" w14:paraId="3DB5B6B6" w14:textId="77777777">
              <w:trPr>
                <w:trHeight w:val="225"/>
                <w:tblCellSpacing w:w="0" w:type="dxa"/>
              </w:trPr>
              <w:tc>
                <w:tcPr>
                  <w:tcW w:w="0" w:type="auto"/>
                  <w:vAlign w:val="center"/>
                </w:tcPr>
                <w:p w14:paraId="6682A9B7" w14:textId="77777777" w:rsidR="0066384C" w:rsidRDefault="00000000">
                  <w:pPr>
                    <w:spacing w:after="0"/>
                    <w:jc w:val="both"/>
                  </w:pPr>
                  <w:r>
                    <w:rPr>
                      <w:rFonts w:ascii="맑은 고딕"/>
                      <w:b/>
                      <w:color w:val="00008B"/>
                      <w:sz w:val="16"/>
                    </w:rPr>
                    <w:t>3. p3-no.22</w:t>
                  </w:r>
                </w:p>
              </w:tc>
            </w:tr>
            <w:tr w:rsidR="0066384C" w14:paraId="4EF079A3" w14:textId="77777777">
              <w:trPr>
                <w:trHeight w:val="75"/>
                <w:tblCellSpacing w:w="0" w:type="dxa"/>
              </w:trPr>
              <w:tc>
                <w:tcPr>
                  <w:tcW w:w="0" w:type="auto"/>
                  <w:vAlign w:val="center"/>
                </w:tcPr>
                <w:p w14:paraId="7F2F26CD" w14:textId="77777777" w:rsidR="0066384C" w:rsidRDefault="00000000">
                  <w:pPr>
                    <w:spacing w:after="0"/>
                    <w:jc w:val="both"/>
                  </w:pPr>
                  <w:r>
                    <w:rPr>
                      <w:rFonts w:ascii="맑은 고딕"/>
                      <w:color w:val="000000"/>
                      <w:sz w:val="18"/>
                    </w:rPr>
                    <w:t>5.  Only when you start to learn the practice of science do you realize that each of these" facts" was hard won through a succession of logical inferences based upon many observations or experiments.</w:t>
                  </w:r>
                </w:p>
              </w:tc>
            </w:tr>
            <w:tr w:rsidR="0066384C" w14:paraId="4C55EA9A" w14:textId="77777777">
              <w:trPr>
                <w:trHeight w:val="75"/>
                <w:tblCellSpacing w:w="0" w:type="dxa"/>
              </w:trPr>
              <w:tc>
                <w:tcPr>
                  <w:tcW w:w="0" w:type="auto"/>
                  <w:vAlign w:val="center"/>
                </w:tcPr>
                <w:p w14:paraId="7A774318" w14:textId="77777777" w:rsidR="0066384C" w:rsidRDefault="00000000">
                  <w:pPr>
                    <w:spacing w:after="0"/>
                    <w:jc w:val="both"/>
                  </w:pPr>
                  <w:r>
                    <w:rPr>
                      <w:rFonts w:ascii="맑은 고딕"/>
                      <w:color w:val="000000"/>
                      <w:sz w:val="18"/>
                    </w:rPr>
                    <w:t>6.  The process of science is less about collecting pieces of knowledge than it is about reducing the uncertainties in what we know.</w:t>
                  </w:r>
                </w:p>
              </w:tc>
            </w:tr>
            <w:tr w:rsidR="0066384C" w14:paraId="3EFBCAEF" w14:textId="77777777">
              <w:trPr>
                <w:trHeight w:val="30"/>
                <w:tblCellSpacing w:w="0" w:type="dxa"/>
              </w:trPr>
              <w:tc>
                <w:tcPr>
                  <w:tcW w:w="0" w:type="auto"/>
                  <w:vAlign w:val="center"/>
                </w:tcPr>
                <w:p w14:paraId="1715EB97" w14:textId="77777777" w:rsidR="0066384C" w:rsidRDefault="0066384C"/>
              </w:tc>
            </w:tr>
            <w:tr w:rsidR="0066384C" w14:paraId="42E9672C" w14:textId="77777777">
              <w:trPr>
                <w:trHeight w:val="225"/>
                <w:tblCellSpacing w:w="0" w:type="dxa"/>
              </w:trPr>
              <w:tc>
                <w:tcPr>
                  <w:tcW w:w="0" w:type="auto"/>
                  <w:vAlign w:val="center"/>
                </w:tcPr>
                <w:p w14:paraId="5CA50CD0" w14:textId="77777777" w:rsidR="0066384C" w:rsidRDefault="00000000">
                  <w:pPr>
                    <w:spacing w:after="0"/>
                    <w:jc w:val="both"/>
                  </w:pPr>
                  <w:r>
                    <w:rPr>
                      <w:rFonts w:ascii="맑은 고딕"/>
                      <w:b/>
                      <w:color w:val="00008B"/>
                      <w:sz w:val="16"/>
                    </w:rPr>
                    <w:t>4. p3-no.23</w:t>
                  </w:r>
                </w:p>
              </w:tc>
            </w:tr>
            <w:tr w:rsidR="0066384C" w14:paraId="0601EB54" w14:textId="77777777">
              <w:trPr>
                <w:trHeight w:val="75"/>
                <w:tblCellSpacing w:w="0" w:type="dxa"/>
              </w:trPr>
              <w:tc>
                <w:tcPr>
                  <w:tcW w:w="0" w:type="auto"/>
                  <w:vAlign w:val="center"/>
                </w:tcPr>
                <w:p w14:paraId="0F27D423" w14:textId="77777777" w:rsidR="0066384C" w:rsidRDefault="00000000">
                  <w:pPr>
                    <w:spacing w:after="0"/>
                    <w:jc w:val="both"/>
                  </w:pPr>
                  <w:r>
                    <w:rPr>
                      <w:rFonts w:ascii="맑은 고딕"/>
                      <w:color w:val="000000"/>
                      <w:sz w:val="18"/>
                    </w:rPr>
                    <w:t>7.  There is a wealth of evidence that when parents, teachers, supervisors, and coaches are perceived as involved and caring, people feel happier and more motivated.</w:t>
                  </w:r>
                </w:p>
              </w:tc>
            </w:tr>
            <w:tr w:rsidR="0066384C" w14:paraId="2DCE0C34" w14:textId="77777777">
              <w:trPr>
                <w:trHeight w:val="75"/>
                <w:tblCellSpacing w:w="0" w:type="dxa"/>
              </w:trPr>
              <w:tc>
                <w:tcPr>
                  <w:tcW w:w="0" w:type="auto"/>
                  <w:vAlign w:val="center"/>
                </w:tcPr>
                <w:p w14:paraId="12ADBA3A" w14:textId="77777777" w:rsidR="0066384C" w:rsidRDefault="00000000">
                  <w:pPr>
                    <w:spacing w:after="0"/>
                    <w:jc w:val="both"/>
                  </w:pPr>
                  <w:r>
                    <w:rPr>
                      <w:rFonts w:ascii="맑은 고딕"/>
                      <w:color w:val="000000"/>
                      <w:sz w:val="18"/>
                    </w:rPr>
                    <w:t xml:space="preserve">8.  Thus, when the need for relatedness is met, motivation and internalization are fueled, </w:t>
                  </w:r>
                  <w:proofErr w:type="gramStart"/>
                  <w:r>
                    <w:rPr>
                      <w:rFonts w:ascii="맑은 고딕"/>
                      <w:color w:val="000000"/>
                      <w:sz w:val="18"/>
                    </w:rPr>
                    <w:t>provided that</w:t>
                  </w:r>
                  <w:proofErr w:type="gramEnd"/>
                  <w:r>
                    <w:rPr>
                      <w:rFonts w:ascii="맑은 고딕"/>
                      <w:color w:val="000000"/>
                      <w:sz w:val="18"/>
                    </w:rPr>
                    <w:t xml:space="preserve"> support for autonomy and competence are also there.</w:t>
                  </w:r>
                </w:p>
              </w:tc>
            </w:tr>
            <w:tr w:rsidR="0066384C" w14:paraId="07820733" w14:textId="77777777">
              <w:trPr>
                <w:trHeight w:val="75"/>
                <w:tblCellSpacing w:w="0" w:type="dxa"/>
              </w:trPr>
              <w:tc>
                <w:tcPr>
                  <w:tcW w:w="0" w:type="auto"/>
                  <w:vAlign w:val="center"/>
                </w:tcPr>
                <w:p w14:paraId="54B6E528" w14:textId="77777777" w:rsidR="0066384C" w:rsidRDefault="00000000">
                  <w:pPr>
                    <w:spacing w:after="0"/>
                    <w:jc w:val="both"/>
                  </w:pPr>
                  <w:r>
                    <w:rPr>
                      <w:rFonts w:ascii="맑은 고딕"/>
                      <w:color w:val="000000"/>
                      <w:sz w:val="18"/>
                    </w:rPr>
                    <w:t>9.  If we are trying to motivate others, a caring relationship is a crucial basis from which to begin.</w:t>
                  </w:r>
                </w:p>
              </w:tc>
            </w:tr>
            <w:tr w:rsidR="0066384C" w14:paraId="16C00CA3" w14:textId="77777777">
              <w:trPr>
                <w:trHeight w:val="30"/>
                <w:tblCellSpacing w:w="0" w:type="dxa"/>
              </w:trPr>
              <w:tc>
                <w:tcPr>
                  <w:tcW w:w="0" w:type="auto"/>
                  <w:vAlign w:val="center"/>
                </w:tcPr>
                <w:p w14:paraId="225AF6F0" w14:textId="77777777" w:rsidR="0066384C" w:rsidRDefault="0066384C"/>
              </w:tc>
            </w:tr>
            <w:tr w:rsidR="0066384C" w14:paraId="166AC88F" w14:textId="77777777">
              <w:trPr>
                <w:trHeight w:val="225"/>
                <w:tblCellSpacing w:w="0" w:type="dxa"/>
              </w:trPr>
              <w:tc>
                <w:tcPr>
                  <w:tcW w:w="0" w:type="auto"/>
                  <w:vAlign w:val="center"/>
                </w:tcPr>
                <w:p w14:paraId="60B18C93" w14:textId="77777777" w:rsidR="0066384C" w:rsidRDefault="00000000">
                  <w:pPr>
                    <w:spacing w:after="0"/>
                    <w:jc w:val="both"/>
                  </w:pPr>
                  <w:r>
                    <w:rPr>
                      <w:rFonts w:ascii="맑은 고딕"/>
                      <w:b/>
                      <w:color w:val="00008B"/>
                      <w:sz w:val="16"/>
                    </w:rPr>
                    <w:t>5. p3-no.24</w:t>
                  </w:r>
                </w:p>
              </w:tc>
            </w:tr>
            <w:tr w:rsidR="0066384C" w14:paraId="30245E0C" w14:textId="77777777">
              <w:trPr>
                <w:trHeight w:val="75"/>
                <w:tblCellSpacing w:w="0" w:type="dxa"/>
              </w:trPr>
              <w:tc>
                <w:tcPr>
                  <w:tcW w:w="0" w:type="auto"/>
                  <w:vAlign w:val="center"/>
                </w:tcPr>
                <w:p w14:paraId="199CD1AB" w14:textId="77777777" w:rsidR="0066384C" w:rsidRDefault="00000000">
                  <w:pPr>
                    <w:spacing w:after="0"/>
                    <w:jc w:val="both"/>
                  </w:pPr>
                  <w:r>
                    <w:rPr>
                      <w:rFonts w:ascii="맑은 고딕"/>
                      <w:color w:val="000000"/>
                      <w:sz w:val="18"/>
                    </w:rPr>
                    <w:t xml:space="preserve">10.  There is intense activity in areas associated with pronunciation and </w:t>
                  </w:r>
                  <w:proofErr w:type="gramStart"/>
                  <w:r>
                    <w:rPr>
                      <w:rFonts w:ascii="맑은 고딕"/>
                      <w:color w:val="000000"/>
                      <w:sz w:val="18"/>
                    </w:rPr>
                    <w:t>hearing the sound of</w:t>
                  </w:r>
                  <w:proofErr w:type="gramEnd"/>
                  <w:r>
                    <w:rPr>
                      <w:rFonts w:ascii="맑은 고딕"/>
                      <w:color w:val="000000"/>
                      <w:sz w:val="18"/>
                    </w:rPr>
                    <w:t xml:space="preserve"> the spoken response, which strengthens the connective structures of your brain cells for more brainpower.</w:t>
                  </w:r>
                </w:p>
              </w:tc>
            </w:tr>
            <w:tr w:rsidR="0066384C" w14:paraId="5F3BC908" w14:textId="77777777">
              <w:trPr>
                <w:trHeight w:val="30"/>
                <w:tblCellSpacing w:w="0" w:type="dxa"/>
              </w:trPr>
              <w:tc>
                <w:tcPr>
                  <w:tcW w:w="0" w:type="auto"/>
                  <w:vAlign w:val="center"/>
                </w:tcPr>
                <w:p w14:paraId="7E38AC6D" w14:textId="77777777" w:rsidR="0066384C" w:rsidRDefault="0066384C"/>
              </w:tc>
            </w:tr>
            <w:tr w:rsidR="0066384C" w14:paraId="68753A9F" w14:textId="77777777">
              <w:trPr>
                <w:trHeight w:val="225"/>
                <w:tblCellSpacing w:w="0" w:type="dxa"/>
              </w:trPr>
              <w:tc>
                <w:tcPr>
                  <w:tcW w:w="0" w:type="auto"/>
                  <w:vAlign w:val="center"/>
                </w:tcPr>
                <w:p w14:paraId="139C2647" w14:textId="77777777" w:rsidR="0066384C" w:rsidRDefault="00000000">
                  <w:pPr>
                    <w:spacing w:after="0"/>
                    <w:jc w:val="both"/>
                  </w:pPr>
                  <w:r>
                    <w:rPr>
                      <w:rFonts w:ascii="맑은 고딕"/>
                      <w:b/>
                      <w:color w:val="00008B"/>
                      <w:sz w:val="16"/>
                    </w:rPr>
                    <w:t>6. p5-no.29</w:t>
                  </w:r>
                </w:p>
              </w:tc>
            </w:tr>
            <w:tr w:rsidR="0066384C" w14:paraId="4231A3E4" w14:textId="77777777">
              <w:trPr>
                <w:trHeight w:val="75"/>
                <w:tblCellSpacing w:w="0" w:type="dxa"/>
              </w:trPr>
              <w:tc>
                <w:tcPr>
                  <w:tcW w:w="0" w:type="auto"/>
                  <w:vAlign w:val="center"/>
                </w:tcPr>
                <w:p w14:paraId="7456D4E1" w14:textId="77777777" w:rsidR="0066384C" w:rsidRDefault="00000000">
                  <w:pPr>
                    <w:spacing w:after="0"/>
                    <w:jc w:val="both"/>
                  </w:pPr>
                  <w:r>
                    <w:rPr>
                      <w:rFonts w:ascii="맑은 고딕"/>
                      <w:color w:val="000000"/>
                      <w:sz w:val="18"/>
                    </w:rPr>
                    <w:t>11.  For example, bouncing a ball in a volleyball service routine supplies the server with information about the ball, the floor, and the state of her muscles.</w:t>
                  </w:r>
                </w:p>
              </w:tc>
            </w:tr>
            <w:tr w:rsidR="0066384C" w14:paraId="2E264332" w14:textId="77777777">
              <w:trPr>
                <w:trHeight w:val="30"/>
                <w:tblCellSpacing w:w="0" w:type="dxa"/>
              </w:trPr>
              <w:tc>
                <w:tcPr>
                  <w:tcW w:w="0" w:type="auto"/>
                  <w:vAlign w:val="center"/>
                </w:tcPr>
                <w:p w14:paraId="056927BD" w14:textId="77777777" w:rsidR="0066384C" w:rsidRDefault="0066384C"/>
              </w:tc>
            </w:tr>
            <w:tr w:rsidR="0066384C" w14:paraId="6C7EA800" w14:textId="77777777">
              <w:trPr>
                <w:trHeight w:val="225"/>
                <w:tblCellSpacing w:w="0" w:type="dxa"/>
              </w:trPr>
              <w:tc>
                <w:tcPr>
                  <w:tcW w:w="0" w:type="auto"/>
                  <w:vAlign w:val="center"/>
                </w:tcPr>
                <w:p w14:paraId="0CEC9E39" w14:textId="77777777" w:rsidR="0066384C" w:rsidRDefault="00000000">
                  <w:pPr>
                    <w:spacing w:after="0"/>
                    <w:jc w:val="both"/>
                  </w:pPr>
                  <w:r>
                    <w:rPr>
                      <w:rFonts w:ascii="맑은 고딕"/>
                      <w:b/>
                      <w:color w:val="00008B"/>
                      <w:sz w:val="16"/>
                    </w:rPr>
                    <w:t>7. p5-no.30</w:t>
                  </w:r>
                </w:p>
              </w:tc>
            </w:tr>
            <w:tr w:rsidR="0066384C" w14:paraId="66924146" w14:textId="77777777">
              <w:trPr>
                <w:trHeight w:val="75"/>
                <w:tblCellSpacing w:w="0" w:type="dxa"/>
              </w:trPr>
              <w:tc>
                <w:tcPr>
                  <w:tcW w:w="0" w:type="auto"/>
                  <w:vAlign w:val="center"/>
                </w:tcPr>
                <w:p w14:paraId="52000A26" w14:textId="77777777" w:rsidR="0066384C" w:rsidRDefault="00000000">
                  <w:pPr>
                    <w:spacing w:after="0"/>
                    <w:jc w:val="both"/>
                  </w:pPr>
                  <w:r>
                    <w:rPr>
                      <w:rFonts w:ascii="맑은 고딕"/>
                      <w:color w:val="000000"/>
                      <w:sz w:val="18"/>
                    </w:rPr>
                    <w:t>12.  We can't force people to think one way or another, and the clever marketer knows that promotion is used to provide information in the most clear, honest, and simple fashion possible.</w:t>
                  </w:r>
                </w:p>
              </w:tc>
            </w:tr>
            <w:tr w:rsidR="0066384C" w14:paraId="6D7893C7" w14:textId="77777777">
              <w:trPr>
                <w:trHeight w:val="75"/>
                <w:tblCellSpacing w:w="0" w:type="dxa"/>
              </w:trPr>
              <w:tc>
                <w:tcPr>
                  <w:tcW w:w="0" w:type="auto"/>
                  <w:vAlign w:val="center"/>
                </w:tcPr>
                <w:p w14:paraId="13DF02BC" w14:textId="77777777" w:rsidR="0066384C" w:rsidRDefault="00000000">
                  <w:pPr>
                    <w:spacing w:after="0"/>
                    <w:jc w:val="both"/>
                  </w:pPr>
                  <w:r>
                    <w:rPr>
                      <w:rFonts w:ascii="맑은 고딕"/>
                      <w:color w:val="000000"/>
                      <w:sz w:val="18"/>
                    </w:rPr>
                    <w:t xml:space="preserve">13.  Gone are the days when promotions were done </w:t>
                  </w:r>
                  <w:proofErr w:type="gramStart"/>
                  <w:r>
                    <w:rPr>
                      <w:rFonts w:ascii="맑은 고딕"/>
                      <w:color w:val="000000"/>
                      <w:sz w:val="18"/>
                    </w:rPr>
                    <w:t>in order to</w:t>
                  </w:r>
                  <w:proofErr w:type="gramEnd"/>
                  <w:r>
                    <w:rPr>
                      <w:rFonts w:ascii="맑은 고딕"/>
                      <w:color w:val="000000"/>
                      <w:sz w:val="18"/>
                    </w:rPr>
                    <w:t xml:space="preserve"> fool the consumer into purchasing something.</w:t>
                  </w:r>
                </w:p>
              </w:tc>
            </w:tr>
            <w:tr w:rsidR="0066384C" w14:paraId="75C56014" w14:textId="77777777">
              <w:trPr>
                <w:trHeight w:val="75"/>
                <w:tblCellSpacing w:w="0" w:type="dxa"/>
              </w:trPr>
              <w:tc>
                <w:tcPr>
                  <w:tcW w:w="0" w:type="auto"/>
                  <w:vAlign w:val="center"/>
                </w:tcPr>
                <w:p w14:paraId="45CA1CF3" w14:textId="77777777" w:rsidR="0066384C" w:rsidRDefault="00000000">
                  <w:pPr>
                    <w:spacing w:after="0"/>
                    <w:jc w:val="both"/>
                  </w:pPr>
                  <w:r>
                    <w:rPr>
                      <w:rFonts w:ascii="맑은 고딕"/>
                      <w:color w:val="000000"/>
                      <w:sz w:val="18"/>
                    </w:rPr>
                    <w:t xml:space="preserve">14.  The long‐term effect of getting a consumer to buy something they did not really </w:t>
                  </w:r>
                  <w:proofErr w:type="gramStart"/>
                  <w:r>
                    <w:rPr>
                      <w:rFonts w:ascii="맑은 고딕"/>
                      <w:color w:val="000000"/>
                      <w:sz w:val="18"/>
                    </w:rPr>
                    <w:t>want</w:t>
                  </w:r>
                  <w:proofErr w:type="gramEnd"/>
                  <w:r>
                    <w:rPr>
                      <w:rFonts w:ascii="맑은 고딕"/>
                      <w:color w:val="000000"/>
                      <w:sz w:val="18"/>
                    </w:rPr>
                    <w:t xml:space="preserve"> or need wasn't good.</w:t>
                  </w:r>
                </w:p>
              </w:tc>
            </w:tr>
            <w:tr w:rsidR="0066384C" w14:paraId="1F2535D4" w14:textId="77777777">
              <w:trPr>
                <w:trHeight w:val="75"/>
                <w:tblCellSpacing w:w="0" w:type="dxa"/>
              </w:trPr>
              <w:tc>
                <w:tcPr>
                  <w:tcW w:w="0" w:type="auto"/>
                  <w:vAlign w:val="center"/>
                </w:tcPr>
                <w:p w14:paraId="3003DC3F" w14:textId="77777777" w:rsidR="0066384C" w:rsidRDefault="00000000">
                  <w:pPr>
                    <w:spacing w:after="0"/>
                    <w:jc w:val="both"/>
                  </w:pPr>
                  <w:r>
                    <w:rPr>
                      <w:rFonts w:ascii="맑은 고딕"/>
                      <w:color w:val="000000"/>
                      <w:sz w:val="18"/>
                    </w:rPr>
                    <w:t>15.  Instead, marketers now know that their goal is to identify the consumers who are most likely to appreciate a good or service, and to promote that good or service in a way that makes the value clear to the consumer.</w:t>
                  </w:r>
                </w:p>
              </w:tc>
            </w:tr>
            <w:tr w:rsidR="0066384C" w14:paraId="0EECE03A" w14:textId="77777777">
              <w:trPr>
                <w:trHeight w:val="30"/>
                <w:tblCellSpacing w:w="0" w:type="dxa"/>
              </w:trPr>
              <w:tc>
                <w:tcPr>
                  <w:tcW w:w="0" w:type="auto"/>
                  <w:vAlign w:val="center"/>
                </w:tcPr>
                <w:p w14:paraId="718ED0CB" w14:textId="77777777" w:rsidR="0066384C" w:rsidRDefault="0066384C"/>
              </w:tc>
            </w:tr>
            <w:tr w:rsidR="0066384C" w14:paraId="5B7399FE" w14:textId="77777777">
              <w:trPr>
                <w:trHeight w:val="225"/>
                <w:tblCellSpacing w:w="0" w:type="dxa"/>
              </w:trPr>
              <w:tc>
                <w:tcPr>
                  <w:tcW w:w="0" w:type="auto"/>
                  <w:vAlign w:val="center"/>
                </w:tcPr>
                <w:p w14:paraId="3062DAE0" w14:textId="77777777" w:rsidR="0066384C" w:rsidRDefault="00000000">
                  <w:pPr>
                    <w:spacing w:after="0"/>
                    <w:jc w:val="both"/>
                  </w:pPr>
                  <w:r>
                    <w:rPr>
                      <w:rFonts w:ascii="맑은 고딕"/>
                      <w:b/>
                      <w:color w:val="00008B"/>
                      <w:sz w:val="16"/>
                    </w:rPr>
                    <w:t>8. p5-no.31</w:t>
                  </w:r>
                </w:p>
              </w:tc>
            </w:tr>
            <w:tr w:rsidR="0066384C" w14:paraId="57E1CEC2" w14:textId="77777777">
              <w:trPr>
                <w:trHeight w:val="75"/>
                <w:tblCellSpacing w:w="0" w:type="dxa"/>
              </w:trPr>
              <w:tc>
                <w:tcPr>
                  <w:tcW w:w="0" w:type="auto"/>
                  <w:vAlign w:val="center"/>
                </w:tcPr>
                <w:p w14:paraId="7CE77E36" w14:textId="77777777" w:rsidR="0066384C" w:rsidRDefault="00000000">
                  <w:pPr>
                    <w:spacing w:after="0"/>
                    <w:jc w:val="both"/>
                  </w:pPr>
                  <w:r>
                    <w:rPr>
                      <w:rFonts w:ascii="맑은 고딕"/>
                      <w:color w:val="000000"/>
                      <w:sz w:val="18"/>
                    </w:rPr>
                    <w:t xml:space="preserve">16.  Plato argued that when you see something that strikes you as beautiful, you are </w:t>
                  </w:r>
                  <w:proofErr w:type="gramStart"/>
                  <w:r>
                    <w:rPr>
                      <w:rFonts w:ascii="맑은 고딕"/>
                      <w:color w:val="000000"/>
                      <w:sz w:val="18"/>
                    </w:rPr>
                    <w:t>really just</w:t>
                  </w:r>
                  <w:proofErr w:type="gramEnd"/>
                  <w:r>
                    <w:rPr>
                      <w:rFonts w:ascii="맑은 고딕"/>
                      <w:color w:val="000000"/>
                      <w:sz w:val="18"/>
                    </w:rPr>
                    <w:t xml:space="preserve"> seeing a partial reflection of true beauty, just as a painting or even a photograph only captures part of the real thing.</w:t>
                  </w:r>
                </w:p>
              </w:tc>
            </w:tr>
            <w:tr w:rsidR="0066384C" w14:paraId="1B549CBC" w14:textId="77777777">
              <w:trPr>
                <w:trHeight w:val="30"/>
                <w:tblCellSpacing w:w="0" w:type="dxa"/>
              </w:trPr>
              <w:tc>
                <w:tcPr>
                  <w:tcW w:w="0" w:type="auto"/>
                  <w:vAlign w:val="center"/>
                </w:tcPr>
                <w:p w14:paraId="0CC5CCF5" w14:textId="77777777" w:rsidR="0066384C" w:rsidRDefault="0066384C"/>
              </w:tc>
            </w:tr>
            <w:tr w:rsidR="0066384C" w14:paraId="5EF0CBF9" w14:textId="77777777">
              <w:trPr>
                <w:trHeight w:val="225"/>
                <w:tblCellSpacing w:w="0" w:type="dxa"/>
              </w:trPr>
              <w:tc>
                <w:tcPr>
                  <w:tcW w:w="0" w:type="auto"/>
                  <w:vAlign w:val="center"/>
                </w:tcPr>
                <w:p w14:paraId="180DA7F3" w14:textId="77777777" w:rsidR="0066384C" w:rsidRDefault="00000000">
                  <w:pPr>
                    <w:spacing w:after="0"/>
                    <w:jc w:val="both"/>
                  </w:pPr>
                  <w:r>
                    <w:rPr>
                      <w:rFonts w:ascii="맑은 고딕"/>
                      <w:b/>
                      <w:color w:val="00008B"/>
                      <w:sz w:val="16"/>
                    </w:rPr>
                    <w:t>9. p5-no.32</w:t>
                  </w:r>
                </w:p>
              </w:tc>
            </w:tr>
            <w:tr w:rsidR="0066384C" w14:paraId="37EB72B5" w14:textId="77777777">
              <w:trPr>
                <w:trHeight w:val="75"/>
                <w:tblCellSpacing w:w="0" w:type="dxa"/>
              </w:trPr>
              <w:tc>
                <w:tcPr>
                  <w:tcW w:w="0" w:type="auto"/>
                  <w:vAlign w:val="center"/>
                </w:tcPr>
                <w:p w14:paraId="56CE0039" w14:textId="77777777" w:rsidR="0066384C" w:rsidRDefault="00000000">
                  <w:pPr>
                    <w:spacing w:after="0"/>
                    <w:jc w:val="both"/>
                  </w:pPr>
                  <w:r>
                    <w:rPr>
                      <w:rFonts w:ascii="맑은 고딕"/>
                      <w:color w:val="000000"/>
                      <w:sz w:val="18"/>
                    </w:rPr>
                    <w:t>17.  As you listen to your child in an emotional moment, be aware that sharing simple observations usually works better than asking questions to get a conversation rolling.</w:t>
                  </w:r>
                </w:p>
              </w:tc>
            </w:tr>
            <w:tr w:rsidR="0066384C" w14:paraId="31520822" w14:textId="77777777">
              <w:trPr>
                <w:trHeight w:val="75"/>
                <w:tblCellSpacing w:w="0" w:type="dxa"/>
              </w:trPr>
              <w:tc>
                <w:tcPr>
                  <w:tcW w:w="0" w:type="auto"/>
                  <w:vAlign w:val="center"/>
                </w:tcPr>
                <w:p w14:paraId="5E9C6816" w14:textId="77777777" w:rsidR="0066384C" w:rsidRDefault="00000000">
                  <w:pPr>
                    <w:spacing w:after="0"/>
                    <w:jc w:val="both"/>
                  </w:pPr>
                  <w:r>
                    <w:rPr>
                      <w:rFonts w:ascii="맑은 고딕"/>
                      <w:color w:val="000000"/>
                      <w:sz w:val="18"/>
                    </w:rPr>
                    <w:t>18.  And even when she does come up with an answer, she might be worried that the answer is not good enough to justify the feeling.</w:t>
                  </w:r>
                </w:p>
              </w:tc>
            </w:tr>
            <w:tr w:rsidR="0066384C" w14:paraId="5934B9BC" w14:textId="77777777">
              <w:trPr>
                <w:trHeight w:val="30"/>
                <w:tblCellSpacing w:w="0" w:type="dxa"/>
              </w:trPr>
              <w:tc>
                <w:tcPr>
                  <w:tcW w:w="0" w:type="auto"/>
                  <w:vAlign w:val="center"/>
                </w:tcPr>
                <w:p w14:paraId="330EC8A9" w14:textId="77777777" w:rsidR="0066384C" w:rsidRDefault="0066384C"/>
              </w:tc>
            </w:tr>
            <w:tr w:rsidR="0066384C" w14:paraId="0E8F771D" w14:textId="77777777">
              <w:trPr>
                <w:trHeight w:val="225"/>
                <w:tblCellSpacing w:w="0" w:type="dxa"/>
              </w:trPr>
              <w:tc>
                <w:tcPr>
                  <w:tcW w:w="0" w:type="auto"/>
                  <w:vAlign w:val="center"/>
                </w:tcPr>
                <w:p w14:paraId="56C63FEE" w14:textId="77777777" w:rsidR="0066384C" w:rsidRDefault="00000000">
                  <w:pPr>
                    <w:spacing w:after="0"/>
                    <w:jc w:val="both"/>
                  </w:pPr>
                  <w:r>
                    <w:rPr>
                      <w:rFonts w:ascii="맑은 고딕"/>
                      <w:b/>
                      <w:color w:val="00008B"/>
                      <w:sz w:val="16"/>
                    </w:rPr>
                    <w:t>10. p6-no.33</w:t>
                  </w:r>
                </w:p>
              </w:tc>
            </w:tr>
            <w:tr w:rsidR="0066384C" w14:paraId="1B2CC843" w14:textId="77777777">
              <w:trPr>
                <w:trHeight w:val="75"/>
                <w:tblCellSpacing w:w="0" w:type="dxa"/>
              </w:trPr>
              <w:tc>
                <w:tcPr>
                  <w:tcW w:w="0" w:type="auto"/>
                  <w:vAlign w:val="center"/>
                </w:tcPr>
                <w:p w14:paraId="30D94B5C" w14:textId="77777777" w:rsidR="0066384C" w:rsidRDefault="00000000">
                  <w:pPr>
                    <w:spacing w:after="0"/>
                    <w:jc w:val="both"/>
                  </w:pPr>
                  <w:r>
                    <w:rPr>
                      <w:rFonts w:ascii="맑은 고딕"/>
                      <w:color w:val="000000"/>
                      <w:sz w:val="18"/>
                    </w:rPr>
                    <w:t>19.  This is particularly useful from a scientific viewpoint, because it allows us to put an objective value on a subjective state of mind.</w:t>
                  </w:r>
                </w:p>
              </w:tc>
            </w:tr>
            <w:tr w:rsidR="0066384C" w14:paraId="74A9226B" w14:textId="77777777">
              <w:trPr>
                <w:trHeight w:val="75"/>
                <w:tblCellSpacing w:w="0" w:type="dxa"/>
              </w:trPr>
              <w:tc>
                <w:tcPr>
                  <w:tcW w:w="0" w:type="auto"/>
                  <w:vAlign w:val="center"/>
                </w:tcPr>
                <w:p w14:paraId="200B82E4" w14:textId="77777777" w:rsidR="0066384C" w:rsidRDefault="00000000">
                  <w:pPr>
                    <w:spacing w:after="0"/>
                    <w:jc w:val="both"/>
                  </w:pPr>
                  <w:r>
                    <w:rPr>
                      <w:rFonts w:ascii="맑은 고딕"/>
                      <w:color w:val="000000"/>
                      <w:sz w:val="18"/>
                    </w:rPr>
                    <w:t>20.  We can then turn the subjective, subconscious experience of emotional intensity into an objective number by figuring out how good your skin gets at transferring an electrical current.</w:t>
                  </w:r>
                </w:p>
              </w:tc>
            </w:tr>
            <w:tr w:rsidR="0066384C" w14:paraId="14DE0F6F" w14:textId="77777777">
              <w:trPr>
                <w:trHeight w:val="30"/>
                <w:tblCellSpacing w:w="0" w:type="dxa"/>
              </w:trPr>
              <w:tc>
                <w:tcPr>
                  <w:tcW w:w="0" w:type="auto"/>
                  <w:vAlign w:val="center"/>
                </w:tcPr>
                <w:p w14:paraId="179A488D" w14:textId="77777777" w:rsidR="0066384C" w:rsidRDefault="0066384C"/>
              </w:tc>
            </w:tr>
            <w:tr w:rsidR="0066384C" w14:paraId="55008515" w14:textId="77777777">
              <w:trPr>
                <w:trHeight w:val="225"/>
                <w:tblCellSpacing w:w="0" w:type="dxa"/>
              </w:trPr>
              <w:tc>
                <w:tcPr>
                  <w:tcW w:w="0" w:type="auto"/>
                  <w:vAlign w:val="center"/>
                </w:tcPr>
                <w:p w14:paraId="2602D05F" w14:textId="77777777" w:rsidR="0066384C" w:rsidRDefault="00000000">
                  <w:pPr>
                    <w:spacing w:after="0"/>
                    <w:jc w:val="both"/>
                  </w:pPr>
                  <w:r>
                    <w:rPr>
                      <w:rFonts w:ascii="맑은 고딕"/>
                      <w:b/>
                      <w:color w:val="00008B"/>
                      <w:sz w:val="16"/>
                    </w:rPr>
                    <w:t>11. p6-no.34</w:t>
                  </w:r>
                </w:p>
              </w:tc>
            </w:tr>
            <w:tr w:rsidR="0066384C" w14:paraId="2B2DF416" w14:textId="77777777">
              <w:trPr>
                <w:trHeight w:val="75"/>
                <w:tblCellSpacing w:w="0" w:type="dxa"/>
              </w:trPr>
              <w:tc>
                <w:tcPr>
                  <w:tcW w:w="0" w:type="auto"/>
                  <w:vAlign w:val="center"/>
                </w:tcPr>
                <w:p w14:paraId="0FFE55CB" w14:textId="77777777" w:rsidR="0066384C" w:rsidRDefault="00000000">
                  <w:pPr>
                    <w:spacing w:after="0"/>
                    <w:jc w:val="both"/>
                  </w:pPr>
                  <w:r>
                    <w:rPr>
                      <w:rFonts w:ascii="맑은 고딕"/>
                      <w:color w:val="000000"/>
                      <w:sz w:val="18"/>
                    </w:rPr>
                    <w:t>21.  Plants can communicate, although not in the same way we do.</w:t>
                  </w:r>
                </w:p>
              </w:tc>
            </w:tr>
            <w:tr w:rsidR="0066384C" w14:paraId="3214CC57" w14:textId="77777777">
              <w:trPr>
                <w:trHeight w:val="75"/>
                <w:tblCellSpacing w:w="0" w:type="dxa"/>
              </w:trPr>
              <w:tc>
                <w:tcPr>
                  <w:tcW w:w="0" w:type="auto"/>
                  <w:vAlign w:val="center"/>
                </w:tcPr>
                <w:p w14:paraId="1CF9B155" w14:textId="77777777" w:rsidR="0066384C" w:rsidRDefault="00000000">
                  <w:pPr>
                    <w:spacing w:after="0"/>
                    <w:jc w:val="both"/>
                  </w:pPr>
                  <w:r>
                    <w:rPr>
                      <w:rFonts w:ascii="맑은 고딕"/>
                      <w:color w:val="000000"/>
                      <w:sz w:val="18"/>
                    </w:rPr>
                    <w:t>22.  However, it's worth noting that experts don't think plants are crying out in pain.</w:t>
                  </w:r>
                </w:p>
              </w:tc>
            </w:tr>
            <w:tr w:rsidR="0066384C" w14:paraId="2CD12275" w14:textId="77777777">
              <w:trPr>
                <w:trHeight w:val="30"/>
                <w:tblCellSpacing w:w="0" w:type="dxa"/>
              </w:trPr>
              <w:tc>
                <w:tcPr>
                  <w:tcW w:w="0" w:type="auto"/>
                  <w:vAlign w:val="center"/>
                </w:tcPr>
                <w:p w14:paraId="62F003DD" w14:textId="77777777" w:rsidR="0066384C" w:rsidRDefault="0066384C"/>
              </w:tc>
            </w:tr>
            <w:tr w:rsidR="0066384C" w14:paraId="69FAC4CA" w14:textId="77777777">
              <w:trPr>
                <w:trHeight w:val="225"/>
                <w:tblCellSpacing w:w="0" w:type="dxa"/>
              </w:trPr>
              <w:tc>
                <w:tcPr>
                  <w:tcW w:w="0" w:type="auto"/>
                  <w:vAlign w:val="center"/>
                </w:tcPr>
                <w:p w14:paraId="6E23AEEE" w14:textId="77777777" w:rsidR="0066384C" w:rsidRDefault="00000000">
                  <w:pPr>
                    <w:spacing w:after="0"/>
                    <w:jc w:val="both"/>
                  </w:pPr>
                  <w:r>
                    <w:rPr>
                      <w:rFonts w:ascii="맑은 고딕"/>
                      <w:b/>
                      <w:color w:val="00008B"/>
                      <w:sz w:val="16"/>
                    </w:rPr>
                    <w:t>12. p6-no.35</w:t>
                  </w:r>
                </w:p>
              </w:tc>
            </w:tr>
            <w:tr w:rsidR="0066384C" w14:paraId="763374E4" w14:textId="77777777">
              <w:trPr>
                <w:trHeight w:val="75"/>
                <w:tblCellSpacing w:w="0" w:type="dxa"/>
              </w:trPr>
              <w:tc>
                <w:tcPr>
                  <w:tcW w:w="0" w:type="auto"/>
                  <w:vAlign w:val="center"/>
                </w:tcPr>
                <w:p w14:paraId="545C5B9D" w14:textId="77777777" w:rsidR="0066384C" w:rsidRDefault="00000000">
                  <w:pPr>
                    <w:spacing w:after="0"/>
                    <w:jc w:val="both"/>
                  </w:pPr>
                  <w:r>
                    <w:rPr>
                      <w:rFonts w:ascii="맑은 고딕"/>
                      <w:color w:val="000000"/>
                      <w:sz w:val="18"/>
                    </w:rPr>
                    <w:lastRenderedPageBreak/>
                    <w:t>23.  What does it mean for a character to be a hero as opposed to a villain?</w:t>
                  </w:r>
                </w:p>
              </w:tc>
            </w:tr>
            <w:tr w:rsidR="0066384C" w14:paraId="525D7A7F" w14:textId="77777777">
              <w:trPr>
                <w:trHeight w:val="75"/>
                <w:tblCellSpacing w:w="0" w:type="dxa"/>
              </w:trPr>
              <w:tc>
                <w:tcPr>
                  <w:tcW w:w="0" w:type="auto"/>
                  <w:vAlign w:val="center"/>
                </w:tcPr>
                <w:p w14:paraId="2F184D62" w14:textId="77777777" w:rsidR="0066384C" w:rsidRDefault="00000000">
                  <w:pPr>
                    <w:spacing w:after="0"/>
                    <w:jc w:val="both"/>
                  </w:pPr>
                  <w:r>
                    <w:rPr>
                      <w:rFonts w:ascii="맑은 고딕"/>
                      <w:color w:val="000000"/>
                      <w:sz w:val="18"/>
                    </w:rPr>
                    <w:t xml:space="preserve">24.  In order for tragedy or misfortune to draw out an emotional response in viewers, the character must be adjusted </w:t>
                  </w:r>
                  <w:proofErr w:type="gramStart"/>
                  <w:r>
                    <w:rPr>
                      <w:rFonts w:ascii="맑은 고딕"/>
                      <w:color w:val="000000"/>
                      <w:sz w:val="18"/>
                    </w:rPr>
                    <w:t>so as to</w:t>
                  </w:r>
                  <w:proofErr w:type="gramEnd"/>
                  <w:r>
                    <w:rPr>
                      <w:rFonts w:ascii="맑은 고딕"/>
                      <w:color w:val="000000"/>
                      <w:sz w:val="18"/>
                    </w:rPr>
                    <w:t xml:space="preserve"> be recognizable as either friend or enemy.</w:t>
                  </w:r>
                </w:p>
              </w:tc>
            </w:tr>
            <w:tr w:rsidR="0066384C" w14:paraId="68B48C2F" w14:textId="77777777">
              <w:trPr>
                <w:trHeight w:val="30"/>
                <w:tblCellSpacing w:w="0" w:type="dxa"/>
              </w:trPr>
              <w:tc>
                <w:tcPr>
                  <w:tcW w:w="0" w:type="auto"/>
                  <w:vAlign w:val="center"/>
                </w:tcPr>
                <w:p w14:paraId="6731486E" w14:textId="77777777" w:rsidR="0066384C" w:rsidRDefault="0066384C"/>
              </w:tc>
            </w:tr>
            <w:tr w:rsidR="0066384C" w14:paraId="5E2E16D6" w14:textId="77777777">
              <w:trPr>
                <w:trHeight w:val="225"/>
                <w:tblCellSpacing w:w="0" w:type="dxa"/>
              </w:trPr>
              <w:tc>
                <w:tcPr>
                  <w:tcW w:w="0" w:type="auto"/>
                  <w:vAlign w:val="center"/>
                </w:tcPr>
                <w:p w14:paraId="7172DA50" w14:textId="77777777" w:rsidR="0066384C" w:rsidRDefault="00000000">
                  <w:pPr>
                    <w:spacing w:after="0"/>
                    <w:jc w:val="both"/>
                  </w:pPr>
                  <w:r>
                    <w:rPr>
                      <w:rFonts w:ascii="맑은 고딕"/>
                      <w:b/>
                      <w:color w:val="00008B"/>
                      <w:sz w:val="16"/>
                    </w:rPr>
                    <w:t>13. p6-no.36</w:t>
                  </w:r>
                </w:p>
              </w:tc>
            </w:tr>
            <w:tr w:rsidR="0066384C" w14:paraId="0B10E4C8" w14:textId="77777777">
              <w:trPr>
                <w:trHeight w:val="75"/>
                <w:tblCellSpacing w:w="0" w:type="dxa"/>
              </w:trPr>
              <w:tc>
                <w:tcPr>
                  <w:tcW w:w="0" w:type="auto"/>
                  <w:vAlign w:val="center"/>
                </w:tcPr>
                <w:p w14:paraId="292EFF9D" w14:textId="77777777" w:rsidR="0066384C" w:rsidRDefault="00000000">
                  <w:pPr>
                    <w:spacing w:after="0"/>
                    <w:jc w:val="both"/>
                  </w:pPr>
                  <w:r>
                    <w:rPr>
                      <w:rFonts w:ascii="맑은 고딕"/>
                      <w:color w:val="000000"/>
                      <w:sz w:val="18"/>
                    </w:rPr>
                    <w:t>25.  Let's assume that at least some animals are capable of thinking despite lacking a language.</w:t>
                  </w:r>
                </w:p>
              </w:tc>
            </w:tr>
            <w:tr w:rsidR="0066384C" w14:paraId="16074F20" w14:textId="77777777">
              <w:trPr>
                <w:trHeight w:val="75"/>
                <w:tblCellSpacing w:w="0" w:type="dxa"/>
              </w:trPr>
              <w:tc>
                <w:tcPr>
                  <w:tcW w:w="0" w:type="auto"/>
                  <w:vAlign w:val="center"/>
                </w:tcPr>
                <w:p w14:paraId="22258FB8" w14:textId="77777777" w:rsidR="0066384C" w:rsidRDefault="00000000">
                  <w:pPr>
                    <w:spacing w:after="0"/>
                    <w:jc w:val="both"/>
                  </w:pPr>
                  <w:r>
                    <w:rPr>
                      <w:rFonts w:ascii="맑은 고딕"/>
                      <w:color w:val="000000"/>
                      <w:sz w:val="18"/>
                    </w:rPr>
                    <w:t xml:space="preserve">26.  For us to be able to say that an animal has concepts, we </w:t>
                  </w:r>
                  <w:proofErr w:type="gramStart"/>
                  <w:r>
                    <w:rPr>
                      <w:rFonts w:ascii="맑은 고딕"/>
                      <w:color w:val="000000"/>
                      <w:sz w:val="18"/>
                    </w:rPr>
                    <w:t>have to</w:t>
                  </w:r>
                  <w:proofErr w:type="gramEnd"/>
                  <w:r>
                    <w:rPr>
                      <w:rFonts w:ascii="맑은 고딕"/>
                      <w:color w:val="000000"/>
                      <w:sz w:val="18"/>
                    </w:rPr>
                    <w:t xml:space="preserve"> show not just that she's capable of thinking, but also that she has certain specific abilities.</w:t>
                  </w:r>
                </w:p>
              </w:tc>
            </w:tr>
            <w:tr w:rsidR="0066384C" w14:paraId="2F0A7671" w14:textId="77777777">
              <w:trPr>
                <w:trHeight w:val="30"/>
                <w:tblCellSpacing w:w="0" w:type="dxa"/>
              </w:trPr>
              <w:tc>
                <w:tcPr>
                  <w:tcW w:w="0" w:type="auto"/>
                  <w:vAlign w:val="center"/>
                </w:tcPr>
                <w:p w14:paraId="31734AD4" w14:textId="77777777" w:rsidR="0066384C" w:rsidRDefault="0066384C"/>
              </w:tc>
            </w:tr>
            <w:tr w:rsidR="0066384C" w14:paraId="105EE906" w14:textId="77777777">
              <w:trPr>
                <w:trHeight w:val="225"/>
                <w:tblCellSpacing w:w="0" w:type="dxa"/>
              </w:trPr>
              <w:tc>
                <w:tcPr>
                  <w:tcW w:w="0" w:type="auto"/>
                  <w:vAlign w:val="center"/>
                </w:tcPr>
                <w:p w14:paraId="3F6E9535" w14:textId="77777777" w:rsidR="0066384C" w:rsidRDefault="00000000">
                  <w:pPr>
                    <w:spacing w:after="0"/>
                    <w:jc w:val="both"/>
                  </w:pPr>
                  <w:r>
                    <w:rPr>
                      <w:rFonts w:ascii="맑은 고딕"/>
                      <w:b/>
                      <w:color w:val="00008B"/>
                      <w:sz w:val="16"/>
                    </w:rPr>
                    <w:t>14. p7-no.37</w:t>
                  </w:r>
                </w:p>
              </w:tc>
            </w:tr>
            <w:tr w:rsidR="0066384C" w14:paraId="394AAE33" w14:textId="77777777">
              <w:trPr>
                <w:trHeight w:val="75"/>
                <w:tblCellSpacing w:w="0" w:type="dxa"/>
              </w:trPr>
              <w:tc>
                <w:tcPr>
                  <w:tcW w:w="0" w:type="auto"/>
                  <w:vAlign w:val="center"/>
                </w:tcPr>
                <w:p w14:paraId="241E4BB2" w14:textId="77777777" w:rsidR="0066384C" w:rsidRDefault="00000000">
                  <w:pPr>
                    <w:spacing w:after="0"/>
                    <w:jc w:val="both"/>
                  </w:pPr>
                  <w:r>
                    <w:rPr>
                      <w:rFonts w:ascii="맑은 고딕"/>
                      <w:color w:val="000000"/>
                      <w:sz w:val="18"/>
                    </w:rPr>
                    <w:t>27.  The cartilage in your left knee then" drinks in" synovial fluid, in much the same way that a sponge soaks up liquid when put in water.</w:t>
                  </w:r>
                </w:p>
              </w:tc>
            </w:tr>
            <w:tr w:rsidR="0066384C" w14:paraId="6E0E3829" w14:textId="77777777">
              <w:trPr>
                <w:trHeight w:val="75"/>
                <w:tblCellSpacing w:w="0" w:type="dxa"/>
              </w:trPr>
              <w:tc>
                <w:tcPr>
                  <w:tcW w:w="0" w:type="auto"/>
                  <w:vAlign w:val="center"/>
                </w:tcPr>
                <w:p w14:paraId="0109BFC2" w14:textId="77777777" w:rsidR="0066384C" w:rsidRDefault="00000000">
                  <w:pPr>
                    <w:spacing w:after="0"/>
                    <w:jc w:val="both"/>
                  </w:pPr>
                  <w:r>
                    <w:rPr>
                      <w:rFonts w:ascii="맑은 고딕"/>
                      <w:color w:val="000000"/>
                      <w:sz w:val="18"/>
                    </w:rPr>
                    <w:t>28.  This squeezing of joint fluid into and out of the cartilage helps it respond to the off-and-on pressure of walking without breaking under the pressure.</w:t>
                  </w:r>
                </w:p>
              </w:tc>
            </w:tr>
            <w:tr w:rsidR="0066384C" w14:paraId="7710DBB8" w14:textId="77777777">
              <w:trPr>
                <w:trHeight w:val="30"/>
                <w:tblCellSpacing w:w="0" w:type="dxa"/>
              </w:trPr>
              <w:tc>
                <w:tcPr>
                  <w:tcW w:w="0" w:type="auto"/>
                  <w:vAlign w:val="center"/>
                </w:tcPr>
                <w:p w14:paraId="328D7010" w14:textId="77777777" w:rsidR="0066384C" w:rsidRDefault="0066384C"/>
              </w:tc>
            </w:tr>
            <w:tr w:rsidR="0066384C" w14:paraId="4E7DFB14" w14:textId="77777777">
              <w:trPr>
                <w:trHeight w:val="225"/>
                <w:tblCellSpacing w:w="0" w:type="dxa"/>
              </w:trPr>
              <w:tc>
                <w:tcPr>
                  <w:tcW w:w="0" w:type="auto"/>
                  <w:vAlign w:val="center"/>
                </w:tcPr>
                <w:p w14:paraId="5CCA0DBD" w14:textId="77777777" w:rsidR="0066384C" w:rsidRDefault="00000000">
                  <w:pPr>
                    <w:spacing w:after="0"/>
                    <w:jc w:val="both"/>
                  </w:pPr>
                  <w:r>
                    <w:rPr>
                      <w:rFonts w:ascii="맑은 고딕"/>
                      <w:b/>
                      <w:color w:val="00008B"/>
                      <w:sz w:val="16"/>
                    </w:rPr>
                    <w:t>15. p7-no.38</w:t>
                  </w:r>
                </w:p>
              </w:tc>
            </w:tr>
            <w:tr w:rsidR="0066384C" w14:paraId="32D45EE3" w14:textId="77777777">
              <w:trPr>
                <w:trHeight w:val="75"/>
                <w:tblCellSpacing w:w="0" w:type="dxa"/>
              </w:trPr>
              <w:tc>
                <w:tcPr>
                  <w:tcW w:w="0" w:type="auto"/>
                  <w:vAlign w:val="center"/>
                </w:tcPr>
                <w:p w14:paraId="52160BED" w14:textId="77777777" w:rsidR="0066384C" w:rsidRDefault="00000000">
                  <w:pPr>
                    <w:spacing w:after="0"/>
                    <w:jc w:val="both"/>
                  </w:pPr>
                  <w:r>
                    <w:rPr>
                      <w:rFonts w:ascii="맑은 고딕"/>
                      <w:color w:val="000000"/>
                      <w:sz w:val="18"/>
                    </w:rPr>
                    <w:t>29.  Once kids have reached the age of five or six, then playing games and working things out together will help them learn about fairness far more effectively than any teaching from adults.</w:t>
                  </w:r>
                </w:p>
              </w:tc>
            </w:tr>
            <w:tr w:rsidR="0066384C" w14:paraId="41657678" w14:textId="77777777">
              <w:trPr>
                <w:trHeight w:val="30"/>
                <w:tblCellSpacing w:w="0" w:type="dxa"/>
              </w:trPr>
              <w:tc>
                <w:tcPr>
                  <w:tcW w:w="0" w:type="auto"/>
                  <w:vAlign w:val="center"/>
                </w:tcPr>
                <w:p w14:paraId="1848F180" w14:textId="77777777" w:rsidR="0066384C" w:rsidRDefault="0066384C"/>
              </w:tc>
            </w:tr>
            <w:tr w:rsidR="0066384C" w14:paraId="536E9E3A" w14:textId="77777777">
              <w:trPr>
                <w:trHeight w:val="225"/>
                <w:tblCellSpacing w:w="0" w:type="dxa"/>
              </w:trPr>
              <w:tc>
                <w:tcPr>
                  <w:tcW w:w="0" w:type="auto"/>
                  <w:vAlign w:val="center"/>
                </w:tcPr>
                <w:p w14:paraId="6C7EB18F" w14:textId="77777777" w:rsidR="0066384C" w:rsidRDefault="00000000">
                  <w:pPr>
                    <w:spacing w:after="0"/>
                    <w:jc w:val="both"/>
                  </w:pPr>
                  <w:r>
                    <w:rPr>
                      <w:rFonts w:ascii="맑은 고딕"/>
                      <w:b/>
                      <w:color w:val="00008B"/>
                      <w:sz w:val="16"/>
                    </w:rPr>
                    <w:t>16. p7-no.39</w:t>
                  </w:r>
                </w:p>
              </w:tc>
            </w:tr>
            <w:tr w:rsidR="0066384C" w14:paraId="36E17F92" w14:textId="77777777">
              <w:trPr>
                <w:trHeight w:val="75"/>
                <w:tblCellSpacing w:w="0" w:type="dxa"/>
              </w:trPr>
              <w:tc>
                <w:tcPr>
                  <w:tcW w:w="0" w:type="auto"/>
                  <w:vAlign w:val="center"/>
                </w:tcPr>
                <w:p w14:paraId="55B90AD5" w14:textId="77777777" w:rsidR="0066384C" w:rsidRDefault="00000000">
                  <w:pPr>
                    <w:spacing w:after="0"/>
                    <w:jc w:val="both"/>
                  </w:pPr>
                  <w:r>
                    <w:rPr>
                      <w:rFonts w:ascii="맑은 고딕"/>
                      <w:color w:val="000000"/>
                      <w:sz w:val="18"/>
                    </w:rPr>
                    <w:t>30.  The rise of air-conditioning accelerated the construction of sealed boxes, where the building's only airflow is through the filtered ducts of the air-conditioning unit.</w:t>
                  </w:r>
                </w:p>
              </w:tc>
            </w:tr>
            <w:tr w:rsidR="0066384C" w14:paraId="702F5E4E" w14:textId="77777777">
              <w:trPr>
                <w:trHeight w:val="75"/>
                <w:tblCellSpacing w:w="0" w:type="dxa"/>
              </w:trPr>
              <w:tc>
                <w:tcPr>
                  <w:tcW w:w="0" w:type="auto"/>
                  <w:vAlign w:val="center"/>
                </w:tcPr>
                <w:p w14:paraId="03E7D6FD" w14:textId="77777777" w:rsidR="0066384C" w:rsidRDefault="00000000">
                  <w:pPr>
                    <w:spacing w:after="0"/>
                    <w:jc w:val="both"/>
                  </w:pPr>
                  <w:r>
                    <w:rPr>
                      <w:rFonts w:ascii="맑은 고딕"/>
                      <w:color w:val="000000"/>
                      <w:sz w:val="18"/>
                    </w:rPr>
                    <w:t>31.  Anyone who has ever spent a few minutes in a mudbrick house in Tucson, or walked on the narrow streets of old Seville, knows how well these construction methods work.</w:t>
                  </w:r>
                </w:p>
              </w:tc>
            </w:tr>
            <w:tr w:rsidR="0066384C" w14:paraId="4C12866A" w14:textId="77777777">
              <w:trPr>
                <w:trHeight w:val="75"/>
                <w:tblCellSpacing w:w="0" w:type="dxa"/>
              </w:trPr>
              <w:tc>
                <w:tcPr>
                  <w:tcW w:w="0" w:type="auto"/>
                  <w:vAlign w:val="center"/>
                </w:tcPr>
                <w:p w14:paraId="6441D197" w14:textId="77777777" w:rsidR="0066384C" w:rsidRDefault="00000000">
                  <w:pPr>
                    <w:spacing w:after="0"/>
                    <w:jc w:val="both"/>
                  </w:pPr>
                  <w:r>
                    <w:rPr>
                      <w:rFonts w:ascii="맑은 고딕"/>
                      <w:color w:val="000000"/>
                      <w:sz w:val="18"/>
                    </w:rPr>
                    <w:t>32.  But all this wisdom about how to deal with heat, accumulated over centuries of practical experience, is all too often ignored.</w:t>
                  </w:r>
                </w:p>
              </w:tc>
            </w:tr>
            <w:tr w:rsidR="0066384C" w14:paraId="1B69F8CE" w14:textId="77777777">
              <w:trPr>
                <w:trHeight w:val="30"/>
                <w:tblCellSpacing w:w="0" w:type="dxa"/>
              </w:trPr>
              <w:tc>
                <w:tcPr>
                  <w:tcW w:w="0" w:type="auto"/>
                  <w:vAlign w:val="center"/>
                </w:tcPr>
                <w:p w14:paraId="7DBB744F" w14:textId="77777777" w:rsidR="0066384C" w:rsidRDefault="0066384C"/>
              </w:tc>
            </w:tr>
            <w:tr w:rsidR="0066384C" w14:paraId="3FEF622D" w14:textId="77777777">
              <w:trPr>
                <w:trHeight w:val="225"/>
                <w:tblCellSpacing w:w="0" w:type="dxa"/>
              </w:trPr>
              <w:tc>
                <w:tcPr>
                  <w:tcW w:w="0" w:type="auto"/>
                  <w:vAlign w:val="center"/>
                </w:tcPr>
                <w:p w14:paraId="4B7AC549" w14:textId="77777777" w:rsidR="0066384C" w:rsidRDefault="00000000">
                  <w:pPr>
                    <w:spacing w:after="0"/>
                    <w:jc w:val="both"/>
                  </w:pPr>
                  <w:r>
                    <w:rPr>
                      <w:rFonts w:ascii="맑은 고딕"/>
                      <w:b/>
                      <w:color w:val="00008B"/>
                      <w:sz w:val="16"/>
                    </w:rPr>
                    <w:t>17. p7-no.40</w:t>
                  </w:r>
                </w:p>
              </w:tc>
            </w:tr>
            <w:tr w:rsidR="0066384C" w14:paraId="67E1D828" w14:textId="77777777">
              <w:trPr>
                <w:trHeight w:val="75"/>
                <w:tblCellSpacing w:w="0" w:type="dxa"/>
              </w:trPr>
              <w:tc>
                <w:tcPr>
                  <w:tcW w:w="0" w:type="auto"/>
                  <w:vAlign w:val="center"/>
                </w:tcPr>
                <w:p w14:paraId="5D963E53" w14:textId="77777777" w:rsidR="0066384C" w:rsidRDefault="00000000">
                  <w:pPr>
                    <w:spacing w:after="0"/>
                    <w:jc w:val="both"/>
                  </w:pPr>
                  <w:r>
                    <w:rPr>
                      <w:rFonts w:ascii="맑은 고딕"/>
                      <w:color w:val="000000"/>
                      <w:sz w:val="18"/>
                    </w:rPr>
                    <w:t>33.  Such logical thinking is a linear type of process, which uses our reasoning skills.</w:t>
                  </w:r>
                </w:p>
              </w:tc>
            </w:tr>
            <w:tr w:rsidR="0066384C" w14:paraId="352C7763" w14:textId="77777777">
              <w:trPr>
                <w:trHeight w:val="75"/>
                <w:tblCellSpacing w:w="0" w:type="dxa"/>
              </w:trPr>
              <w:tc>
                <w:tcPr>
                  <w:tcW w:w="0" w:type="auto"/>
                  <w:vAlign w:val="center"/>
                </w:tcPr>
                <w:p w14:paraId="5E2E66D9" w14:textId="77777777" w:rsidR="0066384C" w:rsidRDefault="00000000">
                  <w:pPr>
                    <w:spacing w:after="0"/>
                    <w:jc w:val="both"/>
                  </w:pPr>
                  <w:r>
                    <w:rPr>
                      <w:rFonts w:ascii="맑은 고딕"/>
                      <w:color w:val="000000"/>
                      <w:sz w:val="18"/>
                    </w:rPr>
                    <w:t xml:space="preserve">34.  This works fine when we're operating </w:t>
                  </w:r>
                  <w:proofErr w:type="gramStart"/>
                  <w:r>
                    <w:rPr>
                      <w:rFonts w:ascii="맑은 고딕"/>
                      <w:color w:val="000000"/>
                      <w:sz w:val="18"/>
                    </w:rPr>
                    <w:t>in the area of</w:t>
                  </w:r>
                  <w:proofErr w:type="gramEnd"/>
                  <w:r>
                    <w:rPr>
                      <w:rFonts w:ascii="맑은 고딕"/>
                      <w:color w:val="000000"/>
                      <w:sz w:val="18"/>
                    </w:rPr>
                    <w:t xml:space="preserve"> what we know or have experienced.</w:t>
                  </w:r>
                </w:p>
              </w:tc>
            </w:tr>
            <w:tr w:rsidR="0066384C" w14:paraId="6B9A0248" w14:textId="77777777">
              <w:trPr>
                <w:trHeight w:val="75"/>
                <w:tblCellSpacing w:w="0" w:type="dxa"/>
              </w:trPr>
              <w:tc>
                <w:tcPr>
                  <w:tcW w:w="0" w:type="auto"/>
                  <w:vAlign w:val="center"/>
                </w:tcPr>
                <w:p w14:paraId="05ECE1AB" w14:textId="77777777" w:rsidR="0066384C" w:rsidRDefault="00000000">
                  <w:pPr>
                    <w:spacing w:after="0"/>
                    <w:jc w:val="both"/>
                  </w:pPr>
                  <w:r>
                    <w:rPr>
                      <w:rFonts w:ascii="맑은 고딕"/>
                      <w:color w:val="000000"/>
                      <w:sz w:val="18"/>
                    </w:rPr>
                    <w:t>35.  Stated differently, if you think in a linear manner, you'll tend to be conservative and keep coming up with techniques which are already known.</w:t>
                  </w:r>
                </w:p>
              </w:tc>
            </w:tr>
            <w:tr w:rsidR="0066384C" w14:paraId="28AA88F6" w14:textId="77777777">
              <w:trPr>
                <w:trHeight w:val="30"/>
                <w:tblCellSpacing w:w="0" w:type="dxa"/>
              </w:trPr>
              <w:tc>
                <w:tcPr>
                  <w:tcW w:w="0" w:type="auto"/>
                  <w:vAlign w:val="center"/>
                </w:tcPr>
                <w:p w14:paraId="0E5687F5" w14:textId="77777777" w:rsidR="0066384C" w:rsidRDefault="0066384C"/>
              </w:tc>
            </w:tr>
            <w:tr w:rsidR="0066384C" w14:paraId="29AF2506" w14:textId="77777777">
              <w:trPr>
                <w:trHeight w:val="225"/>
                <w:tblCellSpacing w:w="0" w:type="dxa"/>
              </w:trPr>
              <w:tc>
                <w:tcPr>
                  <w:tcW w:w="0" w:type="auto"/>
                  <w:vAlign w:val="center"/>
                </w:tcPr>
                <w:p w14:paraId="31551FBB" w14:textId="77777777" w:rsidR="0066384C" w:rsidRDefault="00000000">
                  <w:pPr>
                    <w:spacing w:after="0"/>
                    <w:jc w:val="both"/>
                  </w:pPr>
                  <w:r>
                    <w:rPr>
                      <w:rFonts w:ascii="맑은 고딕"/>
                      <w:b/>
                      <w:color w:val="00008B"/>
                      <w:sz w:val="16"/>
                    </w:rPr>
                    <w:t>18. p8-no.41~42</w:t>
                  </w:r>
                </w:p>
              </w:tc>
            </w:tr>
            <w:tr w:rsidR="0066384C" w14:paraId="18FD710F" w14:textId="77777777">
              <w:trPr>
                <w:trHeight w:val="75"/>
                <w:tblCellSpacing w:w="0" w:type="dxa"/>
              </w:trPr>
              <w:tc>
                <w:tcPr>
                  <w:tcW w:w="0" w:type="auto"/>
                  <w:vAlign w:val="center"/>
                </w:tcPr>
                <w:p w14:paraId="3F2C13B9" w14:textId="77777777" w:rsidR="0066384C" w:rsidRDefault="00000000">
                  <w:pPr>
                    <w:spacing w:after="0"/>
                    <w:jc w:val="both"/>
                  </w:pPr>
                  <w:r>
                    <w:rPr>
                      <w:rFonts w:ascii="맑은 고딕"/>
                      <w:color w:val="000000"/>
                      <w:sz w:val="18"/>
                    </w:rPr>
                    <w:lastRenderedPageBreak/>
                    <w:t>36.  Finally, putting aside the many ways in which statistical results can be manipulated, there are ways in which turning people's lives into numbers is morally insulating.</w:t>
                  </w:r>
                </w:p>
              </w:tc>
            </w:tr>
            <w:tr w:rsidR="0066384C" w14:paraId="31E6996B" w14:textId="77777777">
              <w:trPr>
                <w:trHeight w:val="75"/>
                <w:tblCellSpacing w:w="0" w:type="dxa"/>
              </w:trPr>
              <w:tc>
                <w:tcPr>
                  <w:tcW w:w="0" w:type="auto"/>
                  <w:vAlign w:val="center"/>
                </w:tcPr>
                <w:p w14:paraId="4DE6FF8D" w14:textId="77777777" w:rsidR="0066384C" w:rsidRDefault="00000000">
                  <w:pPr>
                    <w:spacing w:after="0"/>
                    <w:jc w:val="both"/>
                  </w:pPr>
                  <w:r>
                    <w:rPr>
                      <w:rFonts w:ascii="맑은 고딕"/>
                      <w:color w:val="000000"/>
                      <w:sz w:val="18"/>
                    </w:rPr>
                    <w:t>37.  We read the statistics as reports on events at a distance, thus allowing us to escape without being disturbed.</w:t>
                  </w:r>
                </w:p>
              </w:tc>
            </w:tr>
          </w:tbl>
          <w:p w14:paraId="76986580" w14:textId="77777777" w:rsidR="0066384C" w:rsidRDefault="0066384C"/>
        </w:tc>
      </w:tr>
    </w:tbl>
    <w:p w14:paraId="35DF656B" w14:textId="77777777" w:rsidR="00F2078C" w:rsidRDefault="00F2078C"/>
    <w:sectPr w:rsidR="00F2078C">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58108034">
    <w:abstractNumId w:val="1"/>
  </w:num>
  <w:num w:numId="2" w16cid:durableId="1787264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84C"/>
    <w:rsid w:val="00640008"/>
    <w:rsid w:val="0066384C"/>
    <w:rsid w:val="007114B5"/>
    <w:rsid w:val="00F207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D770ADC"/>
  <w15:docId w15:val="{1479E213-365C-D746-97AE-E9D07EB6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2025-04-11T07:38:00Z</dcterms:created>
  <dcterms:modified xsi:type="dcterms:W3CDTF">2025-04-11T07:38:00Z</dcterms:modified>
</cp:coreProperties>
</file>