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3954"/>
      </w:tblGrid>
      <w:tr>
        <w:trPr>
          <w:trHeight w:val="150" w:hRule="atLeast"/>
        </w:trPr>
        <w:tc>
          <w:tcPr>
            <w:tcW w:w="13954" w:type="dxa"/>
            <w:tcBorders/>
            <w:vAlign w:val="center"/>
          </w:tcPr>
          <w:p>
            <w:pPr>
              <w:ind w:left="0"/>
              <w:jc w:val="left"/>
              <w:spacing w:after="0"/>
            </w:pPr>
            <w:r>
              <w:rPr>
                <w:rFonts w:ascii="맑은 고딕"/>
                <w:b w:val="0"/>
                <w:i w:val="0"/>
                <w:color w:val="000000"/>
                <w:sz w:val="16"/>
              </w:rPr>
              <w:t>고1_2022_09월(인천시) - 읽기영역(18~45번) (세희쌤)</w:t>
            </w:r>
          </w:p>
        </w:tc>
      </w:tr>
    </w:tbl>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3954"/>
      </w:tblGrid>
      <w:tr>
        <w:trPr>
          <w:trHeight w:val="615" w:hRule="atLeast"/>
        </w:trPr>
        <w:tc>
          <w:tcPr>
            <w:tcW w:w="13954" w:type="dxa"/>
            <w:tcBorders>
              <w:top w:val="single" w:sz="8" w:space="0" w:color="DADADA"/>
            </w:tcBorders>
            <w:shd w:val="clear" w:color="auto" w:fill="BDD6EE"/>
            <w:vAlign w:val="center"/>
          </w:tcPr>
          <w:p>
            <w:pPr>
              <w:ind w:left="0"/>
              <w:jc w:val="center"/>
              <w:spacing w:after="0"/>
            </w:pPr>
            <w:r>
              <w:rPr>
                <w:rFonts w:ascii="맑은 고딕"/>
                <w:b w:val="0"/>
                <w:i w:val="0"/>
                <w:color w:val="00008B"/>
                <w:sz w:val="16"/>
              </w:rPr>
              <w:t>낱말배열 (정답지)</w:t>
            </w:r>
          </w:p>
        </w:tc>
      </w:tr>
    </w:tbl>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3954"/>
      </w:tblGrid>
      <w:tr>
        <w:trPr>
          <w:trHeight w:val="75" w:hRule="atLeast"/>
        </w:trPr>
        <w:tc>
          <w:tcPr>
            <w:tcW w:w="13954" w:type="dxa"/>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6776"/>
              <w:gridCol w:w="6778"/>
            </w:tblGrid>
            <w:tr>
              <w:trPr>
                <w:trHeight w:val="225" w:hRule="atLeast"/>
              </w:trPr>
              <w:tc>
                <w:tcPr>
                  <w:tcW w:w="0" w:type="auto"/>
                  <w:gridSpan w:val="2"/>
                  <w:tcBorders/>
                  <w:vAlign w:val="center"/>
                </w:tcPr>
                <w:p>
                  <w:pPr>
                    <w:ind w:left="0"/>
                    <w:jc w:val="both"/>
                    <w:spacing w:after="0"/>
                  </w:pPr>
                  <w:r>
                    <w:rPr>
                      <w:rFonts w:ascii="맑은 고딕"/>
                      <w:b/>
                      <w:i w:val="0"/>
                      <w:color w:val="00008B"/>
                      <w:sz w:val="16"/>
                    </w:rPr>
                    <w:t>1. p2-no.20</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1.  It takes more words to introduce, express, and adequately elaborate an idea in speech than it takes in writing.</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2.  This makes it necessary for speakers to talk longer about their points, using more words on them than would be used to express the same idea in writing.</w:t>
                  </w:r>
                </w:p>
              </w:tc>
            </w:tr>
            <w:tr>
              <w:trPr>
                <w:trHeight w:val="30" w:hRule="atLeast"/>
              </w:trPr>
              <w:tc>
                <w:tcPr>
                  <w:tcW w:w="0" w:type="auto"/>
                  <w:gridSpan w:val="2"/>
                  <w:tcBorders/>
                  <w:vAlign w:val="center"/>
                </w:tcPr>
                <w:p/>
              </w:tc>
            </w:tr>
            <w:tr>
              <w:trPr>
                <w:trHeight w:val="225" w:hRule="atLeast"/>
              </w:trPr>
              <w:tc>
                <w:tcPr>
                  <w:tcW w:w="0" w:type="auto"/>
                  <w:gridSpan w:val="2"/>
                  <w:tcBorders/>
                  <w:vAlign w:val="center"/>
                </w:tcPr>
                <w:p>
                  <w:pPr>
                    <w:ind w:left="0"/>
                    <w:jc w:val="both"/>
                    <w:spacing w:after="0"/>
                  </w:pPr>
                  <w:r>
                    <w:rPr>
                      <w:rFonts w:ascii="맑은 고딕"/>
                      <w:b/>
                      <w:i w:val="0"/>
                      <w:color w:val="00008B"/>
                      <w:sz w:val="16"/>
                    </w:rPr>
                    <w:t>2. p3-no.21</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3.  Still," there are times you've got to say' no,'" explains the warranty expert of the company, such as when a product is undamaged or has been abused.</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4.  When Thorp has tried everything to resolve a complaint and realizes that the customer will be dissatisfied no matter what, she returns her attention to the rest of her customers, who she says are" the reason for my success."</w:t>
                  </w:r>
                </w:p>
              </w:tc>
            </w:tr>
            <w:tr>
              <w:trPr>
                <w:trHeight w:val="30" w:hRule="atLeast"/>
              </w:trPr>
              <w:tc>
                <w:tcPr>
                  <w:tcW w:w="0" w:type="auto"/>
                  <w:gridSpan w:val="2"/>
                  <w:tcBorders/>
                  <w:vAlign w:val="center"/>
                </w:tcPr>
                <w:p/>
              </w:tc>
            </w:tr>
            <w:tr>
              <w:trPr>
                <w:trHeight w:val="225" w:hRule="atLeast"/>
              </w:trPr>
              <w:tc>
                <w:tcPr>
                  <w:tcW w:w="0" w:type="auto"/>
                  <w:gridSpan w:val="2"/>
                  <w:tcBorders/>
                  <w:vAlign w:val="center"/>
                </w:tcPr>
                <w:p>
                  <w:pPr>
                    <w:ind w:left="0"/>
                    <w:jc w:val="both"/>
                    <w:spacing w:after="0"/>
                  </w:pPr>
                  <w:r>
                    <w:rPr>
                      <w:rFonts w:ascii="맑은 고딕"/>
                      <w:b/>
                      <w:i w:val="0"/>
                      <w:color w:val="00008B"/>
                      <w:sz w:val="16"/>
                    </w:rPr>
                    <w:t>3. p3-no.22</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5.  Being visually overstimulated, the children have a great deal of difficulty concentrating and end up with worse academic results.</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6.  So it's our job, in order to support their attention, to find the right balance between excessive decoration and the complete absence of it.</w:t>
                  </w:r>
                </w:p>
              </w:tc>
            </w:tr>
            <w:tr>
              <w:trPr>
                <w:trHeight w:val="30" w:hRule="atLeast"/>
              </w:trPr>
              <w:tc>
                <w:tcPr>
                  <w:tcW w:w="0" w:type="auto"/>
                  <w:gridSpan w:val="2"/>
                  <w:tcBorders/>
                  <w:vAlign w:val="center"/>
                </w:tcPr>
                <w:p/>
              </w:tc>
            </w:tr>
            <w:tr>
              <w:trPr>
                <w:trHeight w:val="225" w:hRule="atLeast"/>
              </w:trPr>
              <w:tc>
                <w:tcPr>
                  <w:tcW w:w="0" w:type="auto"/>
                  <w:gridSpan w:val="2"/>
                  <w:tcBorders/>
                  <w:vAlign w:val="center"/>
                </w:tcPr>
                <w:p>
                  <w:pPr>
                    <w:ind w:left="0"/>
                    <w:jc w:val="both"/>
                    <w:spacing w:after="0"/>
                  </w:pPr>
                  <w:r>
                    <w:rPr>
                      <w:rFonts w:ascii="맑은 고딕"/>
                      <w:b/>
                      <w:i w:val="0"/>
                      <w:color w:val="00008B"/>
                      <w:sz w:val="16"/>
                    </w:rPr>
                    <w:t>4. p3-no.23</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7.  Belongingness will likewise promote reproduction, such as by bringing potential mates into contact with each other, and in particular by keeping parents together to care for their children, who are much more likely to survive if they have more than one caregiver.</w:t>
                  </w:r>
                </w:p>
              </w:tc>
            </w:tr>
            <w:tr>
              <w:trPr>
                <w:trHeight w:val="30" w:hRule="atLeast"/>
              </w:trPr>
              <w:tc>
                <w:tcPr>
                  <w:tcW w:w="0" w:type="auto"/>
                  <w:gridSpan w:val="2"/>
                  <w:tcBorders/>
                  <w:vAlign w:val="center"/>
                </w:tcPr>
                <w:p/>
              </w:tc>
            </w:tr>
            <w:tr>
              <w:trPr>
                <w:trHeight w:val="225" w:hRule="atLeast"/>
              </w:trPr>
              <w:tc>
                <w:tcPr>
                  <w:tcW w:w="0" w:type="auto"/>
                  <w:gridSpan w:val="2"/>
                  <w:tcBorders/>
                  <w:vAlign w:val="center"/>
                </w:tcPr>
                <w:p>
                  <w:pPr>
                    <w:ind w:left="0"/>
                    <w:jc w:val="both"/>
                    <w:spacing w:after="0"/>
                  </w:pPr>
                  <w:r>
                    <w:rPr>
                      <w:rFonts w:ascii="맑은 고딕"/>
                      <w:b/>
                      <w:i w:val="0"/>
                      <w:color w:val="00008B"/>
                      <w:sz w:val="16"/>
                    </w:rPr>
                    <w:t>5. p3-no.24</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8.  Those that are brave enough to take those roads less travelled are able to get great returns and derive major satisfaction out of their courageous moves.</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9.  You must learn to take those chances that many people around you will not take, because your success will flow from those bold decisions that you will take along the way.</w:t>
                  </w:r>
                </w:p>
              </w:tc>
            </w:tr>
            <w:tr>
              <w:trPr>
                <w:trHeight w:val="30" w:hRule="atLeast"/>
              </w:trPr>
              <w:tc>
                <w:tcPr>
                  <w:tcW w:w="0" w:type="auto"/>
                  <w:gridSpan w:val="2"/>
                  <w:tcBorders/>
                  <w:vAlign w:val="center"/>
                </w:tcPr>
                <w:p/>
              </w:tc>
            </w:tr>
            <w:tr>
              <w:trPr>
                <w:trHeight w:val="225" w:hRule="atLeast"/>
              </w:trPr>
              <w:tc>
                <w:tcPr>
                  <w:tcW w:w="0" w:type="auto"/>
                  <w:gridSpan w:val="2"/>
                  <w:tcBorders/>
                  <w:vAlign w:val="center"/>
                </w:tcPr>
                <w:p>
                  <w:pPr>
                    <w:ind w:left="0"/>
                    <w:jc w:val="both"/>
                    <w:spacing w:after="0"/>
                  </w:pPr>
                  <w:r>
                    <w:rPr>
                      <w:rFonts w:ascii="맑은 고딕"/>
                      <w:b/>
                      <w:i w:val="0"/>
                      <w:color w:val="00008B"/>
                      <w:sz w:val="16"/>
                    </w:rPr>
                    <w:t>6. p5-no.29</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10.  One possible reason is that many thousands of years ago humans lived in a world of dangerous predators where they had to have their wits about them at all times to avoid being killed.</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11.  None of this may mean we are dumber ― brain size is not necessarily an indicator of human intelligence ― but it may mean that our brains today are wired up differently, and perhaps more efficiently, than those of our ancestors.</w:t>
                  </w:r>
                </w:p>
              </w:tc>
            </w:tr>
            <w:tr>
              <w:trPr>
                <w:trHeight w:val="30" w:hRule="atLeast"/>
              </w:trPr>
              <w:tc>
                <w:tcPr>
                  <w:tcW w:w="0" w:type="auto"/>
                  <w:gridSpan w:val="2"/>
                  <w:tcBorders/>
                  <w:vAlign w:val="center"/>
                </w:tcPr>
                <w:p/>
              </w:tc>
            </w:tr>
            <w:tr>
              <w:trPr>
                <w:trHeight w:val="225" w:hRule="atLeast"/>
              </w:trPr>
              <w:tc>
                <w:tcPr>
                  <w:tcW w:w="0" w:type="auto"/>
                  <w:gridSpan w:val="2"/>
                  <w:tcBorders/>
                  <w:vAlign w:val="center"/>
                </w:tcPr>
                <w:p>
                  <w:pPr>
                    <w:ind w:left="0"/>
                    <w:jc w:val="both"/>
                    <w:spacing w:after="0"/>
                  </w:pPr>
                  <w:r>
                    <w:rPr>
                      <w:rFonts w:ascii="맑은 고딕"/>
                      <w:b/>
                      <w:i w:val="0"/>
                      <w:color w:val="00008B"/>
                      <w:sz w:val="16"/>
                    </w:rPr>
                    <w:t>7. p5-no.30</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12.  It is widely believed that certain herbs somehow magically improve the work of certain organs, and" cure" specific diseases as a result.</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13.  That can create a temporary feeling of a high, which makes it seem as if your health condition has improved.</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14.  Whatever the case, it is your body that has the intelligence to regain health, and not the herbs.</w:t>
                  </w:r>
                </w:p>
              </w:tc>
            </w:tr>
            <w:tr>
              <w:trPr>
                <w:trHeight w:val="30" w:hRule="atLeast"/>
              </w:trPr>
              <w:tc>
                <w:tcPr>
                  <w:tcW w:w="0" w:type="auto"/>
                  <w:gridSpan w:val="2"/>
                  <w:tcBorders/>
                  <w:vAlign w:val="center"/>
                </w:tcPr>
                <w:p/>
              </w:tc>
            </w:tr>
            <w:tr>
              <w:trPr>
                <w:trHeight w:val="225" w:hRule="atLeast"/>
              </w:trPr>
              <w:tc>
                <w:tcPr>
                  <w:tcW w:w="0" w:type="auto"/>
                  <w:gridSpan w:val="2"/>
                  <w:tcBorders/>
                  <w:vAlign w:val="center"/>
                </w:tcPr>
                <w:p>
                  <w:pPr>
                    <w:ind w:left="0"/>
                    <w:jc w:val="both"/>
                    <w:spacing w:after="0"/>
                  </w:pPr>
                  <w:r>
                    <w:rPr>
                      <w:rFonts w:ascii="맑은 고딕"/>
                      <w:b/>
                      <w:i w:val="0"/>
                      <w:color w:val="00008B"/>
                      <w:sz w:val="16"/>
                    </w:rPr>
                    <w:t>8. p5-no.31</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15.  We worry that the robots are taking our jobs, but just as common a problem is that the robots are taking our judgment.</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16.  In their ears are headpieces: the voice of' Jennifer', a piece of software, tells them where to go and what to do, controlling the smallest details of their movements.</w:t>
                  </w:r>
                </w:p>
              </w:tc>
            </w:tr>
            <w:tr>
              <w:trPr>
                <w:trHeight w:val="30" w:hRule="atLeast"/>
              </w:trPr>
              <w:tc>
                <w:tcPr>
                  <w:tcW w:w="0" w:type="auto"/>
                  <w:gridSpan w:val="2"/>
                  <w:tcBorders/>
                  <w:vAlign w:val="center"/>
                </w:tcPr>
                <w:p/>
              </w:tc>
            </w:tr>
            <w:tr>
              <w:trPr>
                <w:trHeight w:val="225" w:hRule="atLeast"/>
              </w:trPr>
              <w:tc>
                <w:tcPr>
                  <w:tcW w:w="0" w:type="auto"/>
                  <w:gridSpan w:val="2"/>
                  <w:tcBorders/>
                  <w:vAlign w:val="center"/>
                </w:tcPr>
                <w:p>
                  <w:pPr>
                    <w:ind w:left="0"/>
                    <w:jc w:val="both"/>
                    <w:spacing w:after="0"/>
                  </w:pPr>
                  <w:r>
                    <w:rPr>
                      <w:rFonts w:ascii="맑은 고딕"/>
                      <w:b/>
                      <w:i w:val="0"/>
                      <w:color w:val="00008B"/>
                      <w:sz w:val="16"/>
                    </w:rPr>
                    <w:t>9. p5-no.32</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17.  People are influenced by the physical and social contexts in which they live, but they also play a role in influencing their development by interacting with, and changing, those contexts.</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18.  The infant brings adults into close contact, making one-on-one interactions and creating opportunities for learning.</w:t>
                  </w:r>
                </w:p>
              </w:tc>
            </w:tr>
            <w:tr>
              <w:trPr>
                <w:trHeight w:val="30" w:hRule="atLeast"/>
              </w:trPr>
              <w:tc>
                <w:tcPr>
                  <w:tcW w:w="0" w:type="auto"/>
                  <w:gridSpan w:val="2"/>
                  <w:tcBorders/>
                  <w:vAlign w:val="center"/>
                </w:tcPr>
                <w:p/>
              </w:tc>
            </w:tr>
            <w:tr>
              <w:trPr>
                <w:trHeight w:val="225" w:hRule="atLeast"/>
              </w:trPr>
              <w:tc>
                <w:tcPr>
                  <w:tcW w:w="0" w:type="auto"/>
                  <w:gridSpan w:val="2"/>
                  <w:tcBorders/>
                  <w:vAlign w:val="center"/>
                </w:tcPr>
                <w:p>
                  <w:pPr>
                    <w:ind w:left="0"/>
                    <w:jc w:val="both"/>
                    <w:spacing w:after="0"/>
                  </w:pPr>
                  <w:r>
                    <w:rPr>
                      <w:rFonts w:ascii="맑은 고딕"/>
                      <w:b/>
                      <w:i w:val="0"/>
                      <w:color w:val="00008B"/>
                      <w:sz w:val="16"/>
                    </w:rPr>
                    <w:t>10. p6-no.33</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19.  Tristram Stuart, one of the global band of anti-waste campaigners, argues that, with freshly made sandwiches, over-ordering is standard practice across the retail sector to avoid the appearance of empty shelf space, leading to high volumes of waste when supply regularly exceeds demand.</w:t>
                  </w:r>
                </w:p>
              </w:tc>
            </w:tr>
            <w:tr>
              <w:trPr>
                <w:trHeight w:val="30" w:hRule="atLeast"/>
              </w:trPr>
              <w:tc>
                <w:tcPr>
                  <w:tcW w:w="0" w:type="auto"/>
                  <w:gridSpan w:val="2"/>
                  <w:tcBorders/>
                  <w:vAlign w:val="center"/>
                </w:tcPr>
                <w:p/>
              </w:tc>
            </w:tr>
            <w:tr>
              <w:trPr>
                <w:trHeight w:val="225" w:hRule="atLeast"/>
              </w:trPr>
              <w:tc>
                <w:tcPr>
                  <w:tcW w:w="0" w:type="auto"/>
                  <w:gridSpan w:val="2"/>
                  <w:tcBorders/>
                  <w:vAlign w:val="center"/>
                </w:tcPr>
                <w:p>
                  <w:pPr>
                    <w:ind w:left="0"/>
                    <w:jc w:val="both"/>
                    <w:spacing w:after="0"/>
                  </w:pPr>
                  <w:r>
                    <w:rPr>
                      <w:rFonts w:ascii="맑은 고딕"/>
                      <w:b/>
                      <w:i w:val="0"/>
                      <w:color w:val="00008B"/>
                      <w:sz w:val="16"/>
                    </w:rPr>
                    <w:t>11. p6-no.34</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20.  The trick was to see if you could totally focus on the main message and also hear someone talking in your other ear.</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21.  Cleverly, Cherry found it was impossible for his participants to know whether the message in the other ear was spoken by a man or woman, in English or another language, or was even comprised of real words at all!</w:t>
                  </w:r>
                </w:p>
              </w:tc>
            </w:tr>
            <w:tr>
              <w:trPr>
                <w:trHeight w:val="30" w:hRule="atLeast"/>
              </w:trPr>
              <w:tc>
                <w:tcPr>
                  <w:tcW w:w="0" w:type="auto"/>
                  <w:gridSpan w:val="2"/>
                  <w:tcBorders/>
                  <w:vAlign w:val="center"/>
                </w:tcPr>
                <w:p/>
              </w:tc>
            </w:tr>
            <w:tr>
              <w:trPr>
                <w:trHeight w:val="225" w:hRule="atLeast"/>
              </w:trPr>
              <w:tc>
                <w:tcPr>
                  <w:tcW w:w="0" w:type="auto"/>
                  <w:gridSpan w:val="2"/>
                  <w:tcBorders/>
                  <w:vAlign w:val="center"/>
                </w:tcPr>
                <w:p>
                  <w:pPr>
                    <w:ind w:left="0"/>
                    <w:jc w:val="both"/>
                    <w:spacing w:after="0"/>
                  </w:pPr>
                  <w:r>
                    <w:rPr>
                      <w:rFonts w:ascii="맑은 고딕"/>
                      <w:b/>
                      <w:i w:val="0"/>
                      <w:color w:val="00008B"/>
                      <w:sz w:val="16"/>
                    </w:rPr>
                    <w:t>12. p6-no.35</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22.  In particular, the most recent technological boost received by the tourism sector is represented by mobile applications.</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23.  Indeed, empowering tourists with mobile access to services such as hotel reservations, airline ticketing, and recommendations for local attractions generates strong interest and considerable profits.</w:t>
                  </w:r>
                </w:p>
              </w:tc>
            </w:tr>
            <w:tr>
              <w:trPr>
                <w:trHeight w:val="30" w:hRule="atLeast"/>
              </w:trPr>
              <w:tc>
                <w:tcPr>
                  <w:tcW w:w="0" w:type="auto"/>
                  <w:gridSpan w:val="2"/>
                  <w:tcBorders/>
                  <w:vAlign w:val="center"/>
                </w:tcPr>
                <w:p/>
              </w:tc>
            </w:tr>
            <w:tr>
              <w:trPr>
                <w:trHeight w:val="225" w:hRule="atLeast"/>
              </w:trPr>
              <w:tc>
                <w:tcPr>
                  <w:tcW w:w="0" w:type="auto"/>
                  <w:gridSpan w:val="2"/>
                  <w:tcBorders/>
                  <w:vAlign w:val="center"/>
                </w:tcPr>
                <w:p>
                  <w:pPr>
                    <w:ind w:left="0"/>
                    <w:jc w:val="both"/>
                    <w:spacing w:after="0"/>
                  </w:pPr>
                  <w:r>
                    <w:rPr>
                      <w:rFonts w:ascii="맑은 고딕"/>
                      <w:b/>
                      <w:i w:val="0"/>
                      <w:color w:val="00008B"/>
                      <w:sz w:val="16"/>
                    </w:rPr>
                    <w:t>13. p6-no.36</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24.  The reason people are hungry in those countries is that the products produced there can be sold on the world market for more than the local citizens can afford to pay for them.</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25.  So the problem really is that food is, in the grand scheme of things, too expensive and many people are too poor to buy it.</w:t>
                  </w:r>
                </w:p>
              </w:tc>
            </w:tr>
            <w:tr>
              <w:trPr>
                <w:trHeight w:val="30" w:hRule="atLeast"/>
              </w:trPr>
              <w:tc>
                <w:tcPr>
                  <w:tcW w:w="0" w:type="auto"/>
                  <w:gridSpan w:val="2"/>
                  <w:tcBorders/>
                  <w:vAlign w:val="center"/>
                </w:tcPr>
                <w:p/>
              </w:tc>
            </w:tr>
            <w:tr>
              <w:trPr>
                <w:trHeight w:val="225" w:hRule="atLeast"/>
              </w:trPr>
              <w:tc>
                <w:tcPr>
                  <w:tcW w:w="0" w:type="auto"/>
                  <w:gridSpan w:val="2"/>
                  <w:tcBorders/>
                  <w:vAlign w:val="center"/>
                </w:tcPr>
                <w:p>
                  <w:pPr>
                    <w:ind w:left="0"/>
                    <w:jc w:val="both"/>
                    <w:spacing w:after="0"/>
                  </w:pPr>
                  <w:r>
                    <w:rPr>
                      <w:rFonts w:ascii="맑은 고딕"/>
                      <w:b/>
                      <w:i w:val="0"/>
                      <w:color w:val="00008B"/>
                      <w:sz w:val="16"/>
                    </w:rPr>
                    <w:t>14. p7-no.37</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26.  Most people have a perfect time of day when they feel they are at their best, whether in the morning, evening, or afternoon.</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27.  If you are able to organize your day and divide your work, make it a point to deal with tasks that demand attention at your best time of the day.</w:t>
                  </w:r>
                </w:p>
              </w:tc>
            </w:tr>
            <w:tr>
              <w:trPr>
                <w:trHeight w:val="30" w:hRule="atLeast"/>
              </w:trPr>
              <w:tc>
                <w:tcPr>
                  <w:tcW w:w="0" w:type="auto"/>
                  <w:gridSpan w:val="2"/>
                  <w:tcBorders/>
                  <w:vAlign w:val="center"/>
                </w:tcPr>
                <w:p/>
              </w:tc>
            </w:tr>
            <w:tr>
              <w:trPr>
                <w:trHeight w:val="225" w:hRule="atLeast"/>
              </w:trPr>
              <w:tc>
                <w:tcPr>
                  <w:tcW w:w="0" w:type="auto"/>
                  <w:gridSpan w:val="2"/>
                  <w:tcBorders/>
                  <w:vAlign w:val="center"/>
                </w:tcPr>
                <w:p>
                  <w:pPr>
                    <w:ind w:left="0"/>
                    <w:jc w:val="both"/>
                    <w:spacing w:after="0"/>
                  </w:pPr>
                  <w:r>
                    <w:rPr>
                      <w:rFonts w:ascii="맑은 고딕"/>
                      <w:b/>
                      <w:i w:val="0"/>
                      <w:color w:val="00008B"/>
                      <w:sz w:val="16"/>
                    </w:rPr>
                    <w:t>15. p7-no.38</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28.  While this is true, there is increasing evidence that we are more motivated to tune in to our favorite shows and characters when we are feeling lonely or have a greater need for social connection.</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29.  The more television we watch, the less likely we are to volunteer our time or to spend time with people in our social networks.</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30.  In other words, the more time we make for Friends, the less time we have for friends in real life.</w:t>
                  </w:r>
                </w:p>
              </w:tc>
            </w:tr>
            <w:tr>
              <w:trPr>
                <w:trHeight w:val="30" w:hRule="atLeast"/>
              </w:trPr>
              <w:tc>
                <w:tcPr>
                  <w:tcW w:w="0" w:type="auto"/>
                  <w:gridSpan w:val="2"/>
                  <w:tcBorders/>
                  <w:vAlign w:val="center"/>
                </w:tcPr>
                <w:p/>
              </w:tc>
            </w:tr>
            <w:tr>
              <w:trPr>
                <w:trHeight w:val="225" w:hRule="atLeast"/>
              </w:trPr>
              <w:tc>
                <w:tcPr>
                  <w:tcW w:w="0" w:type="auto"/>
                  <w:gridSpan w:val="2"/>
                  <w:tcBorders/>
                  <w:vAlign w:val="center"/>
                </w:tcPr>
                <w:p>
                  <w:pPr>
                    <w:ind w:left="0"/>
                    <w:jc w:val="both"/>
                    <w:spacing w:after="0"/>
                  </w:pPr>
                  <w:r>
                    <w:rPr>
                      <w:rFonts w:ascii="맑은 고딕"/>
                      <w:b/>
                      <w:i w:val="0"/>
                      <w:color w:val="00008B"/>
                      <w:sz w:val="16"/>
                    </w:rPr>
                    <w:t>16. p7-no.39</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31.  We often associate the concept of temperature with how hot or cold an object feels when we touch it.</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32.  The two objects feel different because tile transfers energy by heat at a higher rate than carpet does.</w:t>
                  </w:r>
                </w:p>
              </w:tc>
            </w:tr>
            <w:tr>
              <w:trPr>
                <w:trHeight w:val="30" w:hRule="atLeast"/>
              </w:trPr>
              <w:tc>
                <w:tcPr>
                  <w:tcW w:w="0" w:type="auto"/>
                  <w:gridSpan w:val="2"/>
                  <w:tcBorders/>
                  <w:vAlign w:val="center"/>
                </w:tcPr>
                <w:p/>
              </w:tc>
            </w:tr>
            <w:tr>
              <w:trPr>
                <w:trHeight w:val="225" w:hRule="atLeast"/>
              </w:trPr>
              <w:tc>
                <w:tcPr>
                  <w:tcW w:w="0" w:type="auto"/>
                  <w:gridSpan w:val="2"/>
                  <w:tcBorders/>
                  <w:vAlign w:val="center"/>
                </w:tcPr>
                <w:p>
                  <w:pPr>
                    <w:ind w:left="0"/>
                    <w:jc w:val="both"/>
                    <w:spacing w:after="0"/>
                  </w:pPr>
                  <w:r>
                    <w:rPr>
                      <w:rFonts w:ascii="맑은 고딕"/>
                      <w:b/>
                      <w:i w:val="0"/>
                      <w:color w:val="00008B"/>
                      <w:sz w:val="16"/>
                    </w:rPr>
                    <w:t>17. p7-no.40</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33.  My colleagues and I ran an experiment testing two different messages meant to convince thousands of resistant alumni to make a donation.</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34.  Each reason alone was more than twice as effective as the two combined.</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35.  When we gave them different kinds of reasons to donate, we triggered their awareness that someone was trying to persuade them ― and they shielded themselves against it.</w:t>
                  </w:r>
                </w:p>
              </w:tc>
            </w:tr>
            <w:tr>
              <w:trPr>
                <w:trHeight w:val="30" w:hRule="atLeast"/>
              </w:trPr>
              <w:tc>
                <w:tcPr>
                  <w:tcW w:w="0" w:type="auto"/>
                  <w:gridSpan w:val="2"/>
                  <w:tcBorders/>
                  <w:vAlign w:val="center"/>
                </w:tcPr>
                <w:p/>
              </w:tc>
            </w:tr>
            <w:tr>
              <w:trPr>
                <w:trHeight w:val="225" w:hRule="atLeast"/>
              </w:trPr>
              <w:tc>
                <w:tcPr>
                  <w:tcW w:w="0" w:type="auto"/>
                  <w:gridSpan w:val="2"/>
                  <w:tcBorders/>
                  <w:vAlign w:val="center"/>
                </w:tcPr>
                <w:p>
                  <w:pPr>
                    <w:ind w:left="0"/>
                    <w:jc w:val="both"/>
                    <w:spacing w:after="0"/>
                  </w:pPr>
                  <w:r>
                    <w:rPr>
                      <w:rFonts w:ascii="맑은 고딕"/>
                      <w:b/>
                      <w:i w:val="0"/>
                      <w:color w:val="00008B"/>
                      <w:sz w:val="16"/>
                    </w:rPr>
                    <w:t>18. p8-no.41~42</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36.  It may be very difficult to convince an entire society that insects are totally suitable for consumption.</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37.  However, there are examples in which this reversal of attitudes about certain foods has happened to an entire society.</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38.  According to Esther Katz, an anthropologist, if the consumption of insects as a food luxury is to be promoted, there would be more chances that some individuals who do not present this habit overcome ideas under which they were educated.</w:t>
                  </w:r>
                </w:p>
              </w:tc>
            </w:tr>
          </w:tbl>
          <w:p/>
        </w:tc>
      </w:tr>
    </w:tbl>
    <w:p/>
    <w:sectPr>
      <w:pgSz w:w="16839" w:h="11907" w:code="9" w:orient="landscape"/>
      <w:pgMar w:top="1440" w:right="1440" w:bottom="1440" w:left="144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맑은 고딕">
    <w:panose1 w:val="020B0503020000020004"/>
    <w:notTrueType w:val="false"/>
    <w:sig w:usb0="9000002F" w:usb1="29D77CFB" w:usb2="00000012" w:usb3="00000001" w:csb0="00080001" w:csb1="00000001"/>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removePersonalInformation/>
  <w:bordersDontSurroundHeader/>
  <w:bordersDontSurroundFooter/>
  <w:hideGrammaticalErrors/>
  <w:proofState w:spelling="clean" w:grammar="clean"/>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1"/>
  <w:characterSpacingControl w:val="doNotCompress"/>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 w:eastAsia="" w:bidi=""/>
</w:settings>
</file>

<file path=word/styles.xml><?xml version="1.0" encoding="utf-8"?>
<w:styles xmlns:r="http://schemas.openxmlformats.org/officeDocument/2006/relationships" xmlns:w="http://schemas.openxmlformats.org/wordprocessingml/2006/main">
  <w:docDefaults>
    <w:rPrDefault>
      <w:rPr>
        <w:lang w:val="en-US" w:eastAsia="en-US" w:bidi="ar-SA"/>
        <w:rFonts w:asciiTheme="minorHAnsi" w:eastAsiaTheme="minorHAnsi" w:hAnsiTheme="minorHAnsi" w:cstheme="minorBidi"/>
        <w:sz w:val="22"/>
        <w:szCs w:val="22"/>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Title" w:semiHidden="0" w:uiPriority="16" w:unhideWhenUsed="0" w:qFormat="1"/>
    <w:lsdException w:name="Default Paragraph Font" w:uiPriority="1"/>
    <w:lsdException w:name="Subtitle" w:semiHidden="0" w:uiPriority="17" w:unhideWhenUsed="0" w:qFormat="1"/>
    <w:lsdException w:name="Emphasis" w:semiHidden="0" w:uiPriority="32" w:unhideWhenUsed="0" w:qFormat="1"/>
    <w:lsdException w:name="Table Grid" w:semiHidden="0" w:uiPriority="89" w:unhideWhenUsed="0"/>
  </w:latentStyles>
  <w:style w:type="paragraph" w:default="1" w:styleId="Normal">
    <w:name w:val="Normal"/>
    <w:qFormat/>
  </w:style>
  <w:style w:type="paragraph" w:styleId="Heading1">
    <w:name w:val="heading 1"/>
    <w:uiPriority w:val="9"/>
    <w:basedOn w:val="Normal"/>
    <w:next w:val="Normal"/>
    <w:link w:val="Heading1Char"/>
    <w:qFormat/>
    <w:pPr>
      <w:keepNext/>
      <w:keepLines/>
      <w:outlineLvl w:val="0"/>
      <w:spacing w:before="480"/>
    </w:pPr>
    <w:rPr>
      <w:rFonts w:asciiTheme="majorHAnsi" w:eastAsiaTheme="majorEastAsia" w:hAnsiTheme="majorHAnsi" w:cstheme="majorBidi"/>
      <w:b/>
      <w:bCs/>
      <w:color w:val="3057B9"/>
      <w:sz w:val="28"/>
      <w:szCs w:val="28"/>
    </w:rPr>
  </w:style>
  <w:style w:type="paragraph" w:styleId="Heading2">
    <w:name w:val="heading 2"/>
    <w:uiPriority w:val="9"/>
    <w:basedOn w:val="Normal"/>
    <w:next w:val="Normal"/>
    <w:link w:val="Heading2Char"/>
    <w:qFormat/>
    <w:unhideWhenUsed/>
    <w:pPr>
      <w:keepNext/>
      <w:keepLines/>
      <w:outlineLvl w:val="1"/>
      <w:spacing w:before="200"/>
    </w:pPr>
    <w:rPr>
      <w:rFonts w:asciiTheme="majorHAnsi" w:eastAsiaTheme="majorEastAsia" w:hAnsiTheme="majorHAnsi" w:cstheme="majorBidi"/>
      <w:b/>
      <w:bCs/>
      <w:color w:val="6182D6"/>
      <w:sz w:val="26"/>
      <w:szCs w:val="26"/>
    </w:rPr>
  </w:style>
  <w:style w:type="paragraph" w:styleId="Heading3">
    <w:name w:val="heading 3"/>
    <w:uiPriority w:val="9"/>
    <w:basedOn w:val="Normal"/>
    <w:next w:val="Normal"/>
    <w:link w:val="Heading3Char"/>
    <w:qFormat/>
    <w:unhideWhenUsed/>
    <w:pPr>
      <w:keepNext/>
      <w:keepLines/>
      <w:outlineLvl w:val="2"/>
      <w:spacing w:before="200"/>
    </w:pPr>
    <w:rPr>
      <w:rFonts w:asciiTheme="majorHAnsi" w:eastAsiaTheme="majorEastAsia" w:hAnsiTheme="majorHAnsi" w:cstheme="majorBidi"/>
      <w:b/>
      <w:bCs/>
      <w:color w:val="6182D6"/>
    </w:rPr>
  </w:style>
  <w:style w:type="paragraph" w:styleId="Heading4">
    <w:name w:val="heading 4"/>
    <w:uiPriority w:val="9"/>
    <w:basedOn w:val="Normal"/>
    <w:next w:val="Normal"/>
    <w:link w:val="Heading4Char"/>
    <w:qFormat/>
    <w:unhideWhenUsed/>
    <w:pPr>
      <w:keepNext/>
      <w:keepLines/>
      <w:outlineLvl w:val="3"/>
      <w:spacing w:before="200"/>
    </w:pPr>
    <w:rPr>
      <w:rFonts w:asciiTheme="majorHAnsi" w:eastAsiaTheme="majorEastAsia" w:hAnsiTheme="majorHAnsi" w:cstheme="majorBidi"/>
      <w:b/>
      <w:bCs/>
      <w:i/>
      <w:iCs/>
      <w:color w:val="6182D6"/>
    </w:rPr>
  </w:style>
  <w:style w:type="character" w:default="1" w:styleId="DefaultParagraphFont">
    <w:name w:val="Default Paragraph Font"/>
    <w:uiPriority w:val="1"/>
    <w:semiHidden/>
    <w:unhideWhenUsed/>
  </w:style>
  <w:style w:type="paragraph" w:customStyle="1" w:styleId="Header">
    <w:name w:val="header"/>
    <w:uiPriority w:val="99"/>
    <w:basedOn w:val="Normal"/>
    <w:link w:val="HeaderChar"/>
    <w:unhideWhenUsed/>
    <w:pPr>
      <w:tabs>
        <w:tab w:val="center" w:pos="4680"/>
        <w:tab w:val="right" w:pos="9360"/>
      </w:tabs>
    </w:pPr>
  </w:style>
  <w:style w:type="character" w:customStyle="1" w:styleId="HeaderChar">
    <w:name w:val="Header Char"/>
    <w:uiPriority w:val="99"/>
    <w:basedOn w:val="DefaultParagraphFont"/>
    <w:link w:val="Header"/>
  </w:style>
  <w:style w:type="character" w:customStyle="1" w:styleId="Heading1Char">
    <w:name w:val="Heading 1 Char"/>
    <w:uiPriority w:val="9"/>
    <w:basedOn w:val="DefaultParagraphFont"/>
    <w:link w:val="Heading1"/>
    <w:rPr>
      <w:rFonts w:asciiTheme="majorHAnsi" w:eastAsiaTheme="majorEastAsia" w:hAnsiTheme="majorHAnsi" w:cstheme="majorBidi"/>
      <w:b/>
      <w:bCs/>
      <w:color w:val="3057B9"/>
      <w:sz w:val="28"/>
      <w:szCs w:val="28"/>
    </w:rPr>
  </w:style>
  <w:style w:type="character" w:customStyle="1" w:styleId="Heading2Char">
    <w:name w:val="Heading 2 Char"/>
    <w:uiPriority w:val="9"/>
    <w:basedOn w:val="DefaultParagraphFont"/>
    <w:link w:val="Heading2"/>
    <w:rPr>
      <w:rFonts w:asciiTheme="majorHAnsi" w:eastAsiaTheme="majorEastAsia" w:hAnsiTheme="majorHAnsi" w:cstheme="majorBidi"/>
      <w:b/>
      <w:bCs/>
      <w:color w:val="6182D6"/>
      <w:sz w:val="26"/>
      <w:szCs w:val="26"/>
    </w:rPr>
  </w:style>
  <w:style w:type="character" w:customStyle="1" w:styleId="Heading3Char">
    <w:name w:val="Heading 3 Char"/>
    <w:uiPriority w:val="9"/>
    <w:basedOn w:val="DefaultParagraphFont"/>
    <w:link w:val="Heading3"/>
    <w:rPr>
      <w:rFonts w:asciiTheme="majorHAnsi" w:eastAsiaTheme="majorEastAsia" w:hAnsiTheme="majorHAnsi" w:cstheme="majorBidi"/>
      <w:b/>
      <w:bCs/>
      <w:color w:val="6182D6"/>
    </w:rPr>
  </w:style>
  <w:style w:type="character" w:customStyle="1" w:styleId="Heading4Char">
    <w:name w:val="Heading 4 Char"/>
    <w:uiPriority w:val="9"/>
    <w:basedOn w:val="DefaultParagraphFont"/>
    <w:link w:val="Heading4"/>
    <w:rPr>
      <w:rFonts w:asciiTheme="majorHAnsi" w:eastAsiaTheme="majorEastAsia" w:hAnsiTheme="majorHAnsi" w:cstheme="majorBidi"/>
      <w:b/>
      <w:bCs/>
      <w:i/>
      <w:iCs/>
      <w:color w:val="6182D6"/>
    </w:rPr>
  </w:style>
  <w:style w:type="paragraph" w:customStyle="1" w:styleId="NormalIndent">
    <w:name w:val="Normal Indent"/>
    <w:uiPriority w:val="99"/>
    <w:basedOn w:val="Normal"/>
    <w:unhideWhenUsed/>
    <w:pPr>
      <w:ind w:left="720"/>
    </w:pPr>
  </w:style>
  <w:style w:type="paragraph" w:styleId="Subtitle">
    <w:name w:val="Subtitle"/>
    <w:uiPriority w:val="11"/>
    <w:basedOn w:val="Normal"/>
    <w:next w:val="Normal"/>
    <w:link w:val="SubtitleChar"/>
    <w:qFormat/>
    <w:pPr>
      <w:ind w:left="86"/>
      <w:numPr>
        <w:ilvl w:val="1"/>
      </w:numPr>
    </w:pPr>
    <w:rPr>
      <w:rFonts w:asciiTheme="majorHAnsi" w:eastAsiaTheme="majorEastAsia" w:hAnsiTheme="majorHAnsi" w:cstheme="majorBidi"/>
      <w:i/>
      <w:iCs/>
      <w:color w:val="6182D6"/>
      <w:sz w:val="24"/>
      <w:szCs w:val="24"/>
      <w:spacing w:val="15"/>
    </w:rPr>
  </w:style>
  <w:style w:type="character" w:customStyle="1" w:styleId="SubtitleChar">
    <w:name w:val="Subtitle Char"/>
    <w:uiPriority w:val="11"/>
    <w:basedOn w:val="DefaultParagraphFont"/>
    <w:link w:val="Subtitle"/>
    <w:rPr>
      <w:rFonts w:asciiTheme="majorHAnsi" w:eastAsiaTheme="majorEastAsia" w:hAnsiTheme="majorHAnsi" w:cstheme="majorBidi"/>
      <w:i/>
      <w:iCs/>
      <w:color w:val="6182D6"/>
      <w:sz w:val="24"/>
      <w:szCs w:val="24"/>
      <w:spacing w:val="15"/>
    </w:rPr>
  </w:style>
  <w:style w:type="paragraph" w:styleId="Title">
    <w:name w:val="Title"/>
    <w:uiPriority w:val="10"/>
    <w:basedOn w:val="Normal"/>
    <w:next w:val="Normal"/>
    <w:link w:val="TitleChar"/>
    <w:qFormat/>
    <w:pPr>
      <w:contextualSpacing/>
      <w:pBdr>
        <w:bottom w:val="single" w:sz="8" w:space="4" w:color="6182D6" w:themeColor="accent1"/>
      </w:pBdr>
      <w:spacing w:after="300"/>
    </w:pPr>
    <w:rPr>
      <w:rFonts w:asciiTheme="majorHAnsi" w:eastAsiaTheme="majorEastAsia" w:hAnsiTheme="majorHAnsi" w:cstheme="majorBidi"/>
      <w:color w:val="2B2D63"/>
      <w:sz w:val="52"/>
      <w:szCs w:val="52"/>
      <w:kern w:val="28"/>
      <w:spacing w:val="5"/>
    </w:rPr>
  </w:style>
  <w:style w:type="character" w:customStyle="1" w:styleId="TitleChar">
    <w:name w:val="Title Char"/>
    <w:uiPriority w:val="10"/>
    <w:basedOn w:val="DefaultParagraphFont"/>
    <w:link w:val="Title"/>
    <w:rPr>
      <w:rFonts w:asciiTheme="majorHAnsi" w:eastAsiaTheme="majorEastAsia" w:hAnsiTheme="majorHAnsi" w:cstheme="majorBidi"/>
      <w:color w:val="2B2D63"/>
      <w:sz w:val="52"/>
      <w:szCs w:val="52"/>
      <w:kern w:val="28"/>
      <w:spacing w:val="5"/>
    </w:rPr>
  </w:style>
  <w:style w:type="character" w:styleId="Emphasis">
    <w:name w:val="Emphasis"/>
    <w:uiPriority w:val="20"/>
    <w:basedOn w:val="DefaultParagraphFont"/>
    <w:qFormat/>
    <w:rPr>
      <w:i/>
      <w:iCs/>
    </w:rPr>
  </w:style>
  <w:style w:type="character" w:customStyle="1" w:styleId="Hyperlink">
    <w:name w:val="Hyperlink"/>
    <w:uiPriority w:val="99"/>
    <w:basedOn w:val="DefaultParagraphFont"/>
    <w:unhideWhenUsed/>
    <w:rPr>
      <w:color w:val="0000FF"/>
      <w:u w:val="single" w:color="auto"/>
    </w:rPr>
  </w:style>
  <w:style w:type="table" w:styleId="TableGrid">
    <w:name w:val="Table Grid"/>
    <w:uiPriority w:val="59"/>
    <w:basedOn w:val="TableNormal"/>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table" w:customStyle="1" w:styleId="TableNormal">
    <w:name w:val="Normal Table"/>
    <w:uiPriority w:val="99"/>
    <w:qFormat/>
    <w:semiHidden/>
    <w:unhideWhenUsed/>
    <w:tblPr>
      <w:tblInd w:w="0" w:type="dxa"/>
      <w:tblCellMar>
        <w:top w:w="0" w:type="dxa"/>
        <w:left w:w="108" w:type="dxa"/>
        <w:bottom w:w="0" w:type="dxa"/>
        <w:right w:w="108" w:type="dxa"/>
      </w:tblCellMar>
    </w:tblPr>
  </w:style>
  <w:style w:type="paragraph" w:customStyle="1" w:styleId="Caption">
    <w:name w:val="caption"/>
    <w:uiPriority w:val="35"/>
    <w:basedOn w:val="Normal"/>
    <w:next w:val="Normal"/>
    <w:qFormat/>
    <w:semiHidden/>
    <w:unhideWhenUsed/>
    <w:pPr>
      <w:spacing w:line="240" w:lineRule="auto"/>
    </w:pPr>
    <w:rPr>
      <w:b/>
      <w:bCs/>
      <w:color w:val="6182D6"/>
      <w:sz w:val="18"/>
      <w:szCs w:val="18"/>
    </w:rPr>
  </w:style>
  <w:style w:type="paragraph" w:customStyle="1" w:styleId="DocDefaults">
    <w:name w:val="DocDefaults"/>
    <w:pPr>
      <w:spacing w:after="200" w:line="276" w:lineRule="auto"/>
    </w:pPr>
  </w:style>
  <w:style w:type="numbering" w:customStyle="1" w:styleId="a5">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fontTable" Target="fontTable.xml" /><Relationship Id="rId4" Type="http://schemas.openxmlformats.org/officeDocument/2006/relationships/webSettings" Target="webSettings.xml" /><Relationship Id="rId5" Type="http://schemas.openxmlformats.org/officeDocument/2006/relationships/theme" Target="theme/theme1.xml" /></Relationships>
</file>

<file path=word/theme/theme1.xml><?xml version="1.0" encoding="utf-8"?>
<a:theme xmlns:a="http://schemas.openxmlformats.org/drawingml/2006/main" name="Hancom Office">
  <a:themeElements>
    <a:clrScheme name="Hancom Office">
      <a:dk1>
        <a:sysClr val="windowText" lastClr="000000"/>
      </a:dk1>
      <a:lt1>
        <a:sysClr val="window" lastClr="FFFFFF"/>
      </a:lt1>
      <a:dk2>
        <a:srgbClr val="3A3C84"/>
      </a:dk2>
      <a:lt2>
        <a:srgbClr val="FAF3DB"/>
      </a:lt2>
      <a:accent1>
        <a:srgbClr val="6182D6"/>
      </a:accent1>
      <a:accent2>
        <a:srgbClr val="FF843A"/>
      </a:accent2>
      <a:accent3>
        <a:srgbClr val="B2B2B2"/>
      </a:accent3>
      <a:accent4>
        <a:srgbClr val="FFD700"/>
      </a:accent4>
      <a:accent5>
        <a:srgbClr val="289B6E"/>
      </a:accent5>
      <a:accent6>
        <a:srgbClr val="9D5CBB"/>
      </a:accent6>
      <a:hlink>
        <a:srgbClr val="0000FF"/>
      </a:hlink>
      <a:folHlink>
        <a:srgbClr val="800080"/>
      </a:folHlink>
    </a:clrScheme>
    <a:fontScheme name="Hancom Office">
      <a:majorFont>
        <a:latin typeface="맑은 고딕"/>
        <a:ea typeface=""/>
        <a:cs typeface=""/>
        <a:font script="Jpan" typeface="MS Gothic"/>
        <a:font script="Hang" typeface="맑은 고딕"/>
        <a:font script="Hans" typeface="SimSun"/>
        <a:font script="Hant" typeface="PMingLiU"/>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맑은 고딕"/>
        <a:ea typeface=""/>
        <a:cs typeface=""/>
        <a:font script="Jpan" typeface="MS Mincho"/>
        <a:font script="Hang" typeface="맑은 고딕"/>
        <a:font script="Hans" typeface="SimSun"/>
        <a:font script="Hant" typeface="PMingLiU"/>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Hancom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12700" cap="flat" cmpd="sng" algn="ctr">
          <a:solidFill>
            <a:schemeClr val="phClr"/>
          </a:solidFill>
          <a:prstDash val="solid"/>
        </a:ln>
        <a:ln w="1905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zhs67</dc:creator>
  <cp:keywords/>
  <dc:description/>
  <cp:lastModifiedBy>zhs67</cp:lastModifiedBy>
  <cp:revision>1</cp:revision>
  <dcterms:modified xsi:type="dcterms:W3CDTF">2025-01-15T12:51:08Z</dcterms:modified>
  <cp:version>1200.0100.01</cp:version>
</cp:coreProperties>
</file>