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7628"/>
        <w:gridCol w:w="279"/>
        <w:gridCol w:w="1336"/>
      </w:tblGrid>
      <w:tr w:rsidR="00D01DD0" w14:paraId="3CFE5D6C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7C11412D" w14:textId="77777777" w:rsidR="00D01DD0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마더텅(2025개정) 고1 11강 옛날 지문</w:t>
            </w:r>
          </w:p>
        </w:tc>
      </w:tr>
      <w:tr w:rsidR="00D01DD0" w14:paraId="2256026D" w14:textId="77777777">
        <w:trPr>
          <w:trHeight w:val="615"/>
          <w:tblCellSpacing w:w="0" w:type="dxa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0552DEAA" w14:textId="77777777" w:rsidR="00D01DD0" w:rsidRDefault="00000000">
            <w:pPr>
              <w:spacing w:after="0"/>
            </w:pPr>
            <w:r>
              <w:rPr>
                <w:rFonts w:ascii="맑은 고딕"/>
                <w:b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gridSpan w:val="2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5734DED9" w14:textId="77777777" w:rsidR="00D01DD0" w:rsidRDefault="00000000">
            <w:pPr>
              <w:spacing w:after="0"/>
              <w:jc w:val="right"/>
            </w:pPr>
            <w:r>
              <w:rPr>
                <w:rFonts w:ascii="맑은 고딕"/>
                <w:color w:val="00008B"/>
                <w:sz w:val="16"/>
              </w:rPr>
              <w:t>어휘완성(해설지)</w:t>
            </w:r>
          </w:p>
        </w:tc>
      </w:tr>
      <w:tr w:rsidR="00D01DD0" w14:paraId="38E4CB34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58A7D009" w14:textId="77777777" w:rsidR="00D01DD0" w:rsidRDefault="00D01DD0"/>
        </w:tc>
      </w:tr>
      <w:tr w:rsidR="00D01DD0" w14:paraId="2F58C10C" w14:textId="77777777">
        <w:trPr>
          <w:trHeight w:val="375"/>
          <w:tblCellSpacing w:w="0" w:type="dxa"/>
        </w:trPr>
        <w:tc>
          <w:tcPr>
            <w:tcW w:w="13392" w:type="dxa"/>
            <w:gridSpan w:val="2"/>
            <w:tcBorders>
              <w:right w:val="single" w:sz="8" w:space="0" w:color="DADADA"/>
            </w:tcBorders>
            <w:vAlign w:val="center"/>
          </w:tcPr>
          <w:p w14:paraId="3C544CE1" w14:textId="77777777" w:rsidR="00D01DD0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1. p11강-no.20번 161131</w:t>
            </w:r>
          </w:p>
        </w:tc>
        <w:tc>
          <w:tcPr>
            <w:tcW w:w="1008" w:type="dxa"/>
            <w:vAlign w:val="center"/>
          </w:tcPr>
          <w:p w14:paraId="0916160E" w14:textId="77777777" w:rsidR="00D01DD0" w:rsidRDefault="00D01DD0"/>
        </w:tc>
      </w:tr>
      <w:tr w:rsidR="00D01DD0" w14:paraId="32FDE6AA" w14:textId="77777777">
        <w:trPr>
          <w:trHeight w:val="150"/>
          <w:tblCellSpacing w:w="0" w:type="dxa"/>
        </w:trPr>
        <w:tc>
          <w:tcPr>
            <w:tcW w:w="13392" w:type="dxa"/>
            <w:gridSpan w:val="2"/>
            <w:tcBorders>
              <w:right w:val="single" w:sz="8" w:space="0" w:color="DADADA"/>
            </w:tcBorders>
          </w:tcPr>
          <w:p w14:paraId="7AF2B868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People are </w:t>
            </w:r>
            <w:r>
              <w:rPr>
                <w:rFonts w:ascii="맑은 고딕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ttracted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individuals and things they cannot readily </w:t>
            </w:r>
            <w:r>
              <w:rPr>
                <w:rFonts w:ascii="맑은 고딕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color w:val="FF0000"/>
                <w:sz w:val="20"/>
              </w:rPr>
              <w:t>btain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008" w:type="dxa"/>
          </w:tcPr>
          <w:p w14:paraId="4C995FD2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사람들은 자신들이 쉽게 얻을 수 없는 사람이나 사물에 이끌린다.</w:t>
            </w:r>
          </w:p>
        </w:tc>
      </w:tr>
      <w:tr w:rsidR="00D01DD0" w14:paraId="5D987CB1" w14:textId="77777777">
        <w:trPr>
          <w:trHeight w:val="150"/>
          <w:tblCellSpacing w:w="0" w:type="dxa"/>
        </w:trPr>
        <w:tc>
          <w:tcPr>
            <w:tcW w:w="13392" w:type="dxa"/>
            <w:gridSpan w:val="2"/>
            <w:tcBorders>
              <w:right w:val="single" w:sz="8" w:space="0" w:color="DADADA"/>
            </w:tcBorders>
          </w:tcPr>
          <w:p w14:paraId="5186C666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the case with things, people are more </w:t>
            </w:r>
            <w:r>
              <w:rPr>
                <w:rFonts w:ascii="맑은 고딕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ttracted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a </w:t>
            </w:r>
            <w:r>
              <w:rPr>
                <w:rFonts w:ascii="맑은 고딕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esired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object because it is out of their reach.</w:t>
            </w:r>
          </w:p>
        </w:tc>
        <w:tc>
          <w:tcPr>
            <w:tcW w:w="1008" w:type="dxa"/>
          </w:tcPr>
          <w:p w14:paraId="3A760B33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사물의 경우, 사람들은 원하는 물건이 그들의 손에 닿지 않기 때문에 그것에 더 이끌린다.</w:t>
            </w:r>
          </w:p>
        </w:tc>
      </w:tr>
      <w:tr w:rsidR="00D01DD0" w14:paraId="6AE44C9C" w14:textId="77777777">
        <w:trPr>
          <w:trHeight w:val="150"/>
          <w:tblCellSpacing w:w="0" w:type="dxa"/>
        </w:trPr>
        <w:tc>
          <w:tcPr>
            <w:tcW w:w="13392" w:type="dxa"/>
            <w:gridSpan w:val="2"/>
            <w:tcBorders>
              <w:right w:val="single" w:sz="8" w:space="0" w:color="DADADA"/>
            </w:tcBorders>
          </w:tcPr>
          <w:p w14:paraId="3DF471FC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When the object of desire is finally </w:t>
            </w:r>
            <w:r>
              <w:rPr>
                <w:rFonts w:ascii="맑은 고딕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color w:val="FF0000"/>
                <w:sz w:val="20"/>
              </w:rPr>
              <w:t>ained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the attraction for the object rapidly </w:t>
            </w:r>
            <w:r>
              <w:rPr>
                <w:rFonts w:ascii="맑은 고딕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ecreases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008" w:type="dxa"/>
          </w:tcPr>
          <w:p w14:paraId="65C5A8A9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원하는 물건이 마침내 얻어지면, 그 물건에 대한 매력은 빠르게 감소한다.</w:t>
            </w:r>
          </w:p>
        </w:tc>
      </w:tr>
      <w:tr w:rsidR="00D01DD0" w14:paraId="6BAEE508" w14:textId="77777777">
        <w:trPr>
          <w:trHeight w:val="150"/>
          <w:tblCellSpacing w:w="0" w:type="dxa"/>
        </w:trPr>
        <w:tc>
          <w:tcPr>
            <w:tcW w:w="13392" w:type="dxa"/>
            <w:gridSpan w:val="2"/>
            <w:tcBorders>
              <w:right w:val="single" w:sz="8" w:space="0" w:color="DADADA"/>
            </w:tcBorders>
          </w:tcPr>
          <w:p w14:paraId="535BE81E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Christmas presents </w:t>
            </w:r>
            <w:r>
              <w:rPr>
                <w:rFonts w:ascii="맑은 고딕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rovide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good example of this phenomenon.</w:t>
            </w:r>
          </w:p>
        </w:tc>
        <w:tc>
          <w:tcPr>
            <w:tcW w:w="1008" w:type="dxa"/>
          </w:tcPr>
          <w:p w14:paraId="07E4B2E0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크리스마스 선물이 이러한 현상의 좋은 예를 제공한다.</w:t>
            </w:r>
          </w:p>
        </w:tc>
      </w:tr>
      <w:tr w:rsidR="00D01DD0" w14:paraId="00D60B2C" w14:textId="77777777">
        <w:trPr>
          <w:trHeight w:val="150"/>
          <w:tblCellSpacing w:w="0" w:type="dxa"/>
        </w:trPr>
        <w:tc>
          <w:tcPr>
            <w:tcW w:w="13392" w:type="dxa"/>
            <w:gridSpan w:val="2"/>
            <w:tcBorders>
              <w:right w:val="single" w:sz="8" w:space="0" w:color="DADADA"/>
            </w:tcBorders>
          </w:tcPr>
          <w:p w14:paraId="2F9563CF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Toys children wanted all year long </w:t>
            </w:r>
            <w:r>
              <w:rPr>
                <w:rFonts w:ascii="맑은 고딕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hrown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way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several days after they </w:t>
            </w:r>
            <w:r>
              <w:rPr>
                <w:rFonts w:ascii="맑은 고딕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aken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from gift boxes under the tree.</w:t>
            </w:r>
          </w:p>
        </w:tc>
        <w:tc>
          <w:tcPr>
            <w:tcW w:w="1008" w:type="dxa"/>
          </w:tcPr>
          <w:p w14:paraId="1122D870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아이들이 일 년 내내 원했던 장난감은 트리 아래 선물 상자에서 꺼내진 후 며칠 뒤에 버려진다.</w:t>
            </w:r>
          </w:p>
        </w:tc>
      </w:tr>
      <w:tr w:rsidR="00D01DD0" w14:paraId="2C3E0A2C" w14:textId="77777777">
        <w:trPr>
          <w:trHeight w:val="150"/>
          <w:tblCellSpacing w:w="0" w:type="dxa"/>
        </w:trPr>
        <w:tc>
          <w:tcPr>
            <w:tcW w:w="13392" w:type="dxa"/>
            <w:gridSpan w:val="2"/>
            <w:tcBorders>
              <w:right w:val="single" w:sz="8" w:space="0" w:color="DADADA"/>
            </w:tcBorders>
          </w:tcPr>
          <w:p w14:paraId="2E77393A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phenomenon also holds </w:t>
            </w:r>
            <w:r>
              <w:rPr>
                <w:rFonts w:ascii="맑은 고딕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rue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for human interaction, particularly in the </w:t>
            </w:r>
            <w:r>
              <w:rPr>
                <w:rFonts w:ascii="맑은 고딕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arly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stages of a </w:t>
            </w:r>
            <w:r>
              <w:rPr>
                <w:rFonts w:ascii="맑은 고딕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eveloping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relationship.</w:t>
            </w:r>
          </w:p>
        </w:tc>
        <w:tc>
          <w:tcPr>
            <w:tcW w:w="1008" w:type="dxa"/>
          </w:tcPr>
          <w:p w14:paraId="2EDB4049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 현상은 사람들의 상호 작용, 특히 관계가 형성되는 초기 단계에도 유효하다.</w:t>
            </w:r>
          </w:p>
        </w:tc>
      </w:tr>
      <w:tr w:rsidR="00D01DD0" w14:paraId="3D1086EE" w14:textId="77777777">
        <w:trPr>
          <w:trHeight w:val="150"/>
          <w:tblCellSpacing w:w="0" w:type="dxa"/>
        </w:trPr>
        <w:tc>
          <w:tcPr>
            <w:tcW w:w="13392" w:type="dxa"/>
            <w:gridSpan w:val="2"/>
            <w:tcBorders>
              <w:right w:val="single" w:sz="8" w:space="0" w:color="DADADA"/>
            </w:tcBorders>
          </w:tcPr>
          <w:p w14:paraId="63190D6A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common dating rule has scientific </w:t>
            </w:r>
            <w:r>
              <w:rPr>
                <w:rFonts w:ascii="맑은 고딕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erit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008" w:type="dxa"/>
          </w:tcPr>
          <w:p w14:paraId="53249261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일반적인 데이트 규칙에는 과학적 가치가 있다.</w:t>
            </w:r>
          </w:p>
        </w:tc>
      </w:tr>
      <w:tr w:rsidR="00D01DD0" w14:paraId="260B12F2" w14:textId="77777777">
        <w:trPr>
          <w:trHeight w:val="150"/>
          <w:tblCellSpacing w:w="0" w:type="dxa"/>
        </w:trPr>
        <w:tc>
          <w:tcPr>
            <w:tcW w:w="13392" w:type="dxa"/>
            <w:gridSpan w:val="2"/>
            <w:tcBorders>
              <w:right w:val="single" w:sz="8" w:space="0" w:color="DADADA"/>
            </w:tcBorders>
          </w:tcPr>
          <w:p w14:paraId="3E151D52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An individual should not always make himself or herself readily </w:t>
            </w:r>
            <w:r>
              <w:rPr>
                <w:rFonts w:ascii="맑은 고딕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color w:val="FF0000"/>
                <w:sz w:val="20"/>
              </w:rPr>
              <w:t>vailable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the person they are </w:t>
            </w:r>
            <w:r>
              <w:rPr>
                <w:rFonts w:ascii="맑은 고딕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argeting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for a longer-term relationship.</w:t>
            </w:r>
          </w:p>
        </w:tc>
        <w:tc>
          <w:tcPr>
            <w:tcW w:w="1008" w:type="dxa"/>
          </w:tcPr>
          <w:p w14:paraId="4B12A9DB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사람은 장기적인 관계를 목표로 하고 있는 사람에게 자기 자신을 항상 쉽게 만날 수 있게 해서는 안 된다.</w:t>
            </w:r>
          </w:p>
        </w:tc>
      </w:tr>
      <w:tr w:rsidR="00D01DD0" w14:paraId="7568E47C" w14:textId="77777777">
        <w:trPr>
          <w:trHeight w:val="150"/>
          <w:tblCellSpacing w:w="0" w:type="dxa"/>
        </w:trPr>
        <w:tc>
          <w:tcPr>
            <w:tcW w:w="13392" w:type="dxa"/>
            <w:gridSpan w:val="2"/>
            <w:tcBorders>
              <w:right w:val="single" w:sz="8" w:space="0" w:color="DADADA"/>
            </w:tcBorders>
          </w:tcPr>
          <w:p w14:paraId="11E2A655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 certain level of </w:t>
            </w:r>
            <w:r>
              <w:rPr>
                <w:rFonts w:ascii="맑은 고딕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color w:val="FF0000"/>
                <w:sz w:val="20"/>
              </w:rPr>
              <w:t>navailability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will make you more of a </w:t>
            </w:r>
            <w:r>
              <w:rPr>
                <w:rFonts w:ascii="맑은 고딕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ystery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and a </w:t>
            </w:r>
            <w:r>
              <w:rPr>
                <w:rFonts w:ascii="맑은 고딕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hallenge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008" w:type="dxa"/>
          </w:tcPr>
          <w:p w14:paraId="3F13CB3E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일정 정도의 만날 수 없음이 여러분을 더욱 신비롭고 도전적인 존재로 만들어 줄 것이다.</w:t>
            </w:r>
          </w:p>
        </w:tc>
      </w:tr>
      <w:tr w:rsidR="00D01DD0" w14:paraId="5E8DEE54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54125684" w14:textId="77777777" w:rsidR="00D01DD0" w:rsidRDefault="00D01DD0"/>
        </w:tc>
      </w:tr>
      <w:tr w:rsidR="00D01DD0" w14:paraId="7DEEF9E6" w14:textId="77777777">
        <w:trPr>
          <w:trHeight w:val="375"/>
          <w:tblCellSpacing w:w="0" w:type="dxa"/>
        </w:trPr>
        <w:tc>
          <w:tcPr>
            <w:tcW w:w="13392" w:type="dxa"/>
            <w:gridSpan w:val="2"/>
            <w:tcBorders>
              <w:right w:val="single" w:sz="8" w:space="0" w:color="DADADA"/>
            </w:tcBorders>
            <w:vAlign w:val="center"/>
          </w:tcPr>
          <w:p w14:paraId="05FCE755" w14:textId="77777777" w:rsidR="00D01DD0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2. p11강-no.30번 190633</w:t>
            </w:r>
          </w:p>
        </w:tc>
        <w:tc>
          <w:tcPr>
            <w:tcW w:w="1008" w:type="dxa"/>
            <w:vAlign w:val="center"/>
          </w:tcPr>
          <w:p w14:paraId="5243610C" w14:textId="77777777" w:rsidR="00D01DD0" w:rsidRDefault="00D01DD0"/>
        </w:tc>
      </w:tr>
      <w:tr w:rsidR="00D01DD0" w14:paraId="7BB650E7" w14:textId="77777777">
        <w:trPr>
          <w:trHeight w:val="150"/>
          <w:tblCellSpacing w:w="0" w:type="dxa"/>
        </w:trPr>
        <w:tc>
          <w:tcPr>
            <w:tcW w:w="13392" w:type="dxa"/>
            <w:gridSpan w:val="2"/>
            <w:tcBorders>
              <w:right w:val="single" w:sz="8" w:space="0" w:color="DADADA"/>
            </w:tcBorders>
          </w:tcPr>
          <w:p w14:paraId="53F5E603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mind is essentially a </w:t>
            </w:r>
            <w:r>
              <w:rPr>
                <w:rFonts w:ascii="맑은 고딕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urvival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machine.</w:t>
            </w:r>
          </w:p>
        </w:tc>
        <w:tc>
          <w:tcPr>
            <w:tcW w:w="1008" w:type="dxa"/>
          </w:tcPr>
          <w:p w14:paraId="1B85EBDD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생각은 본질적으로 생존 기계이다.</w:t>
            </w:r>
          </w:p>
        </w:tc>
      </w:tr>
      <w:tr w:rsidR="00D01DD0" w14:paraId="7272CE43" w14:textId="77777777">
        <w:trPr>
          <w:trHeight w:val="150"/>
          <w:tblCellSpacing w:w="0" w:type="dxa"/>
        </w:trPr>
        <w:tc>
          <w:tcPr>
            <w:tcW w:w="13392" w:type="dxa"/>
            <w:gridSpan w:val="2"/>
            <w:tcBorders>
              <w:right w:val="single" w:sz="8" w:space="0" w:color="DADADA"/>
            </w:tcBorders>
          </w:tcPr>
          <w:p w14:paraId="1C4AA309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Attack and defense against other minds, gathering, storing, and analyzing information ― this is what it is </w:t>
            </w:r>
            <w:r>
              <w:rPr>
                <w:rFonts w:ascii="맑은 고딕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color w:val="FF0000"/>
                <w:sz w:val="20"/>
              </w:rPr>
              <w:t>ood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at, but it is not at all </w:t>
            </w:r>
            <w:r>
              <w:rPr>
                <w:rFonts w:ascii="맑은 고딕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reative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008" w:type="dxa"/>
          </w:tcPr>
          <w:p w14:paraId="765D4025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정보를 수집하고, 저장하고, 분석하며, 다른 생각에 대한 공격과 수비 ― 이것은 생각이 잘 하는 것이지만, 전혀 창의적이지는 않다.</w:t>
            </w:r>
          </w:p>
        </w:tc>
      </w:tr>
      <w:tr w:rsidR="00D01DD0" w14:paraId="49F4F4CA" w14:textId="77777777">
        <w:trPr>
          <w:trHeight w:val="150"/>
          <w:tblCellSpacing w:w="0" w:type="dxa"/>
        </w:trPr>
        <w:tc>
          <w:tcPr>
            <w:tcW w:w="13392" w:type="dxa"/>
            <w:gridSpan w:val="2"/>
            <w:tcBorders>
              <w:right w:val="single" w:sz="8" w:space="0" w:color="DADADA"/>
            </w:tcBorders>
          </w:tcPr>
          <w:p w14:paraId="395FE616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All true artists create from a place of no-mind, from </w:t>
            </w:r>
            <w:r>
              <w:rPr>
                <w:rFonts w:ascii="맑은 고딕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nner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stillness.</w:t>
            </w:r>
          </w:p>
        </w:tc>
        <w:tc>
          <w:tcPr>
            <w:tcW w:w="1008" w:type="dxa"/>
          </w:tcPr>
          <w:p w14:paraId="2F0ABCAD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모든 진정한 예술가들은 생각이 없는 상태, 즉 내적인 고요함 속에서 창작을 한다.</w:t>
            </w:r>
          </w:p>
        </w:tc>
      </w:tr>
      <w:tr w:rsidR="00D01DD0" w14:paraId="41AF1822" w14:textId="77777777">
        <w:trPr>
          <w:trHeight w:val="150"/>
          <w:tblCellSpacing w:w="0" w:type="dxa"/>
        </w:trPr>
        <w:tc>
          <w:tcPr>
            <w:tcW w:w="13392" w:type="dxa"/>
            <w:gridSpan w:val="2"/>
            <w:tcBorders>
              <w:right w:val="single" w:sz="8" w:space="0" w:color="DADADA"/>
            </w:tcBorders>
          </w:tcPr>
          <w:p w14:paraId="555FCF36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Even great scientists have reported that their </w:t>
            </w:r>
            <w:r>
              <w:rPr>
                <w:rFonts w:ascii="맑은 고딕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reative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breakthroughs came at a time of </w:t>
            </w:r>
            <w:r>
              <w:rPr>
                <w:rFonts w:ascii="맑은 고딕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ental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quietude.</w:t>
            </w:r>
          </w:p>
        </w:tc>
        <w:tc>
          <w:tcPr>
            <w:tcW w:w="1008" w:type="dxa"/>
          </w:tcPr>
          <w:p w14:paraId="579D1EB0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심지어 위대한 과학자들조차도 그들의 창의적인 돌파구는 마음의 정적의 시간에서 생겨났다고 말했다.</w:t>
            </w:r>
          </w:p>
        </w:tc>
      </w:tr>
      <w:tr w:rsidR="00D01DD0" w14:paraId="24095DE2" w14:textId="77777777">
        <w:trPr>
          <w:trHeight w:val="150"/>
          <w:tblCellSpacing w:w="0" w:type="dxa"/>
        </w:trPr>
        <w:tc>
          <w:tcPr>
            <w:tcW w:w="13392" w:type="dxa"/>
            <w:gridSpan w:val="2"/>
            <w:tcBorders>
              <w:right w:val="single" w:sz="8" w:space="0" w:color="DADADA"/>
            </w:tcBorders>
          </w:tcPr>
          <w:p w14:paraId="753DB427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The surprising result of a nationwide inquiry among America's most famous mathematicians, including Einstein, to </w:t>
            </w:r>
            <w:r>
              <w:rPr>
                <w:rFonts w:ascii="맑은 고딕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color w:val="FF0000"/>
                <w:sz w:val="20"/>
              </w:rPr>
              <w:t>ind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color w:val="FF0000"/>
                <w:sz w:val="20"/>
              </w:rPr>
              <w:t>ut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their working methods, was that thinking "plays only a </w:t>
            </w:r>
            <w:r>
              <w:rPr>
                <w:rFonts w:ascii="맑은 고딕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ubordinate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part in the brief, </w:t>
            </w:r>
            <w:r>
              <w:rPr>
                <w:rFonts w:ascii="맑은 고딕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ecisive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phase of the </w:t>
            </w:r>
            <w:r>
              <w:rPr>
                <w:rFonts w:ascii="맑은 고딕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reative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act itself."</w:t>
            </w:r>
          </w:p>
        </w:tc>
        <w:tc>
          <w:tcPr>
            <w:tcW w:w="1008" w:type="dxa"/>
          </w:tcPr>
          <w:p w14:paraId="5B353A45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아인슈타인을 포함한 미국의 가장 유명한 수학자들을 대상으로 그들의 작업 방식을 알아내기 위한 전국적인 조사의 놀라운 결과는 생각은 "창의적인 행동의 짧고, 결정적인 단계에서 단지 부수적인 역할만 할 뿐이다."라는 것이다.</w:t>
            </w:r>
          </w:p>
        </w:tc>
      </w:tr>
      <w:tr w:rsidR="00D01DD0" w14:paraId="6F299320" w14:textId="77777777">
        <w:trPr>
          <w:trHeight w:val="150"/>
          <w:tblCellSpacing w:w="0" w:type="dxa"/>
        </w:trPr>
        <w:tc>
          <w:tcPr>
            <w:tcW w:w="13392" w:type="dxa"/>
            <w:gridSpan w:val="2"/>
            <w:tcBorders>
              <w:right w:val="single" w:sz="8" w:space="0" w:color="DADADA"/>
            </w:tcBorders>
          </w:tcPr>
          <w:p w14:paraId="16636166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So I would say that the simple reason why the </w:t>
            </w:r>
            <w:r>
              <w:rPr>
                <w:rFonts w:ascii="맑은 고딕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color w:val="FF0000"/>
                <w:sz w:val="20"/>
              </w:rPr>
              <w:t>ajority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scientists are not </w:t>
            </w:r>
            <w:r>
              <w:rPr>
                <w:rFonts w:ascii="맑은 고딕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reative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is not because they don't know how to think, but because they don't know how to stop thinking!</w:t>
            </w:r>
          </w:p>
        </w:tc>
        <w:tc>
          <w:tcPr>
            <w:tcW w:w="1008" w:type="dxa"/>
          </w:tcPr>
          <w:p w14:paraId="7D9C45AA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그래서 나는 대다수의 과학자들이 창의적이지 않은 단순한 이유는 그들이 생각하는 방법을 몰라서가 아니라 생각을 멈추는 방법을 모르기 때문이라고 말하고 싶다.</w:t>
            </w:r>
          </w:p>
        </w:tc>
      </w:tr>
      <w:tr w:rsidR="00D01DD0" w14:paraId="388F5C2E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28FE22F2" w14:textId="77777777" w:rsidR="00D01DD0" w:rsidRDefault="00D01DD0"/>
        </w:tc>
      </w:tr>
      <w:tr w:rsidR="00D01DD0" w14:paraId="08E90FD5" w14:textId="77777777">
        <w:trPr>
          <w:trHeight w:val="375"/>
          <w:tblCellSpacing w:w="0" w:type="dxa"/>
        </w:trPr>
        <w:tc>
          <w:tcPr>
            <w:tcW w:w="13392" w:type="dxa"/>
            <w:gridSpan w:val="2"/>
            <w:tcBorders>
              <w:right w:val="single" w:sz="8" w:space="0" w:color="DADADA"/>
            </w:tcBorders>
            <w:vAlign w:val="center"/>
          </w:tcPr>
          <w:p w14:paraId="6ED02860" w14:textId="10874EBA" w:rsidR="00D01DD0" w:rsidRDefault="00000000">
            <w:pPr>
              <w:spacing w:after="0"/>
              <w:rPr>
                <w:rFonts w:hint="eastAsia"/>
                <w:lang w:eastAsia="ko-KR"/>
              </w:rPr>
            </w:pPr>
            <w:r>
              <w:rPr>
                <w:rFonts w:ascii="맑은 고딕"/>
                <w:color w:val="000000"/>
                <w:sz w:val="16"/>
              </w:rPr>
              <w:t>3. p11강-no.40번 21063</w:t>
            </w:r>
            <w:r w:rsidR="00F11E21">
              <w:rPr>
                <w:rFonts w:ascii="맑은 고딕" w:hint="eastAsia"/>
                <w:color w:val="000000"/>
                <w:sz w:val="16"/>
                <w:lang w:eastAsia="ko-KR"/>
              </w:rPr>
              <w:t>2</w:t>
            </w:r>
          </w:p>
        </w:tc>
        <w:tc>
          <w:tcPr>
            <w:tcW w:w="1008" w:type="dxa"/>
            <w:vAlign w:val="center"/>
          </w:tcPr>
          <w:p w14:paraId="42A9D8A5" w14:textId="77777777" w:rsidR="00D01DD0" w:rsidRDefault="00D01DD0"/>
        </w:tc>
      </w:tr>
      <w:tr w:rsidR="00D01DD0" w14:paraId="5BDFA188" w14:textId="77777777">
        <w:trPr>
          <w:trHeight w:val="150"/>
          <w:tblCellSpacing w:w="0" w:type="dxa"/>
        </w:trPr>
        <w:tc>
          <w:tcPr>
            <w:tcW w:w="13392" w:type="dxa"/>
            <w:gridSpan w:val="2"/>
            <w:tcBorders>
              <w:right w:val="single" w:sz="8" w:space="0" w:color="DADADA"/>
            </w:tcBorders>
          </w:tcPr>
          <w:p w14:paraId="70110258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Research has </w:t>
            </w:r>
            <w:r>
              <w:rPr>
                <w:rFonts w:ascii="맑은 고딕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onfirmed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that athletes are </w:t>
            </w:r>
            <w:r>
              <w:rPr>
                <w:rFonts w:ascii="맑은 고딕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ess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likely to participate in </w:t>
            </w:r>
            <w:r>
              <w:rPr>
                <w:rFonts w:ascii="맑은 고딕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color w:val="FF0000"/>
                <w:sz w:val="20"/>
              </w:rPr>
              <w:t>nacceptable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behavior than are non-athletes.</w:t>
            </w:r>
          </w:p>
        </w:tc>
        <w:tc>
          <w:tcPr>
            <w:tcW w:w="1008" w:type="dxa"/>
          </w:tcPr>
          <w:p w14:paraId="5793CB00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운동 선수는 선수가 아닌 사람들보다 받아들여지지 않는 행동을 덜 할 것이라고 연구는 확인했다.</w:t>
            </w:r>
          </w:p>
        </w:tc>
      </w:tr>
      <w:tr w:rsidR="00D01DD0" w14:paraId="5CBC8752" w14:textId="77777777">
        <w:trPr>
          <w:trHeight w:val="150"/>
          <w:tblCellSpacing w:w="0" w:type="dxa"/>
        </w:trPr>
        <w:tc>
          <w:tcPr>
            <w:tcW w:w="13392" w:type="dxa"/>
            <w:gridSpan w:val="2"/>
            <w:tcBorders>
              <w:right w:val="single" w:sz="8" w:space="0" w:color="DADADA"/>
            </w:tcBorders>
          </w:tcPr>
          <w:p w14:paraId="2D44B2C7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However, moral reasoning and good sporting behavior seem to </w:t>
            </w:r>
            <w:r>
              <w:rPr>
                <w:rFonts w:ascii="맑은 고딕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ecline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as athletes progress to </w:t>
            </w:r>
            <w:r>
              <w:rPr>
                <w:rFonts w:ascii="맑은 고딕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color w:val="FF0000"/>
                <w:sz w:val="20"/>
              </w:rPr>
              <w:t>igher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competitive levels, in part because of the </w:t>
            </w:r>
            <w:r>
              <w:rPr>
                <w:rFonts w:ascii="맑은 고딕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color w:val="FF0000"/>
                <w:sz w:val="20"/>
              </w:rPr>
              <w:t>ncreased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emphasis on winning.</w:t>
            </w:r>
          </w:p>
        </w:tc>
        <w:tc>
          <w:tcPr>
            <w:tcW w:w="1008" w:type="dxa"/>
          </w:tcPr>
          <w:p w14:paraId="3F8B4400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그러나 부분적으로 승리에 대한 강조가 커지기 </w:t>
            </w:r>
            <w:r>
              <w:rPr>
                <w:rFonts w:ascii="맑은 고딕"/>
                <w:color w:val="000000"/>
                <w:sz w:val="16"/>
              </w:rPr>
              <w:lastRenderedPageBreak/>
              <w:t>때문에 운동 선수가 더 높은 경쟁적 수준까지 올라감에 따라서 도덕적 분별력과 바람직한 스포츠 행위가 감소하는 것 같다.</w:t>
            </w:r>
          </w:p>
        </w:tc>
      </w:tr>
      <w:tr w:rsidR="00D01DD0" w14:paraId="51F1B728" w14:textId="77777777">
        <w:trPr>
          <w:trHeight w:val="150"/>
          <w:tblCellSpacing w:w="0" w:type="dxa"/>
        </w:trPr>
        <w:tc>
          <w:tcPr>
            <w:tcW w:w="13392" w:type="dxa"/>
            <w:gridSpan w:val="2"/>
            <w:tcBorders>
              <w:right w:val="single" w:sz="8" w:space="0" w:color="DADADA"/>
            </w:tcBorders>
          </w:tcPr>
          <w:p w14:paraId="47A02E07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Thus winning can be a </w:t>
            </w:r>
            <w:r>
              <w:rPr>
                <w:rFonts w:ascii="맑은 고딕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ouble-edged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sword in </w:t>
            </w:r>
            <w:r>
              <w:rPr>
                <w:rFonts w:ascii="맑은 고딕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eaching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character development.</w:t>
            </w:r>
          </w:p>
        </w:tc>
        <w:tc>
          <w:tcPr>
            <w:tcW w:w="1008" w:type="dxa"/>
          </w:tcPr>
          <w:p w14:paraId="6712A931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그래서 승리라는 것은 인성 함양을 가르치는 데 있어서 양날의 검이 될 수 있다.</w:t>
            </w:r>
          </w:p>
        </w:tc>
      </w:tr>
      <w:tr w:rsidR="00D01DD0" w14:paraId="1E2144CE" w14:textId="77777777">
        <w:trPr>
          <w:trHeight w:val="150"/>
          <w:tblCellSpacing w:w="0" w:type="dxa"/>
        </w:trPr>
        <w:tc>
          <w:tcPr>
            <w:tcW w:w="13392" w:type="dxa"/>
            <w:gridSpan w:val="2"/>
            <w:tcBorders>
              <w:right w:val="single" w:sz="8" w:space="0" w:color="DADADA"/>
            </w:tcBorders>
          </w:tcPr>
          <w:p w14:paraId="410C6B1F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Some athletes may want to </w:t>
            </w:r>
            <w:r>
              <w:rPr>
                <w:rFonts w:ascii="맑은 고딕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in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so much that they </w:t>
            </w:r>
            <w:r>
              <w:rPr>
                <w:rFonts w:ascii="맑은 고딕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ie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color w:val="FF0000"/>
                <w:sz w:val="20"/>
              </w:rPr>
              <w:t>heat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color w:val="FF0000"/>
                <w:sz w:val="20"/>
              </w:rPr>
              <w:t>reak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team rules.</w:t>
            </w:r>
          </w:p>
        </w:tc>
        <w:tc>
          <w:tcPr>
            <w:tcW w:w="1008" w:type="dxa"/>
          </w:tcPr>
          <w:p w14:paraId="14766C31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어떤 선수는 너무나 이기려고 하다 보니 그 결과 거짓말하고 속이고 팀 규칙을 위반한다.</w:t>
            </w:r>
          </w:p>
        </w:tc>
      </w:tr>
      <w:tr w:rsidR="00D01DD0" w14:paraId="1331C14C" w14:textId="77777777">
        <w:trPr>
          <w:trHeight w:val="150"/>
          <w:tblCellSpacing w:w="0" w:type="dxa"/>
        </w:trPr>
        <w:tc>
          <w:tcPr>
            <w:tcW w:w="13392" w:type="dxa"/>
            <w:gridSpan w:val="2"/>
            <w:tcBorders>
              <w:right w:val="single" w:sz="8" w:space="0" w:color="DADADA"/>
            </w:tcBorders>
          </w:tcPr>
          <w:p w14:paraId="7D5964BB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They may develop </w:t>
            </w:r>
            <w:r>
              <w:rPr>
                <w:rFonts w:ascii="맑은 고딕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color w:val="FF0000"/>
                <w:sz w:val="20"/>
              </w:rPr>
              <w:t>ndesirable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character traits that can </w:t>
            </w:r>
            <w:r>
              <w:rPr>
                <w:rFonts w:ascii="맑은 고딕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color w:val="FF0000"/>
                <w:sz w:val="20"/>
              </w:rPr>
              <w:t>nhance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their ability to </w:t>
            </w:r>
            <w:r>
              <w:rPr>
                <w:rFonts w:ascii="맑은 고딕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in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the short term.</w:t>
            </w:r>
          </w:p>
        </w:tc>
        <w:tc>
          <w:tcPr>
            <w:tcW w:w="1008" w:type="dxa"/>
          </w:tcPr>
          <w:p w14:paraId="697A483A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그들은 단시간에 이기고자 자신의 능력을 강화할 수 있는 바람직하지 못한 인격 특성을 계발할지 모른다.</w:t>
            </w:r>
          </w:p>
        </w:tc>
      </w:tr>
      <w:tr w:rsidR="00D01DD0" w14:paraId="6532E928" w14:textId="77777777">
        <w:trPr>
          <w:trHeight w:val="150"/>
          <w:tblCellSpacing w:w="0" w:type="dxa"/>
        </w:trPr>
        <w:tc>
          <w:tcPr>
            <w:tcW w:w="13392" w:type="dxa"/>
            <w:gridSpan w:val="2"/>
            <w:tcBorders>
              <w:right w:val="single" w:sz="8" w:space="0" w:color="DADADA"/>
            </w:tcBorders>
          </w:tcPr>
          <w:p w14:paraId="76D14D7C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However, when athletes </w:t>
            </w:r>
            <w:r>
              <w:rPr>
                <w:rFonts w:ascii="맑은 고딕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color w:val="FF0000"/>
                <w:sz w:val="20"/>
              </w:rPr>
              <w:t>esist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temptation to </w:t>
            </w:r>
            <w:r>
              <w:rPr>
                <w:rFonts w:ascii="맑은 고딕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color w:val="FF0000"/>
                <w:sz w:val="20"/>
              </w:rPr>
              <w:t>in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a </w:t>
            </w:r>
            <w:r>
              <w:rPr>
                <w:rFonts w:ascii="맑은 고딕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ishonest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way, they can develop </w:t>
            </w:r>
            <w:r>
              <w:rPr>
                <w:rFonts w:ascii="맑은 고딕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color w:val="FF0000"/>
                <w:sz w:val="20"/>
              </w:rPr>
              <w:t>ositive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character traits that last a lifetime.</w:t>
            </w:r>
          </w:p>
        </w:tc>
        <w:tc>
          <w:tcPr>
            <w:tcW w:w="1008" w:type="dxa"/>
          </w:tcPr>
          <w:p w14:paraId="569675D2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 선수가 부정한 방법으로 이기고자 하는 유혹에 저항할 때 그들은 일생동안 지속되는 긍정적인 인격 특성을 계발할 수 있다.</w:t>
            </w:r>
          </w:p>
        </w:tc>
      </w:tr>
      <w:tr w:rsidR="00D01DD0" w14:paraId="5EF43EEE" w14:textId="77777777">
        <w:trPr>
          <w:trHeight w:val="150"/>
          <w:tblCellSpacing w:w="0" w:type="dxa"/>
        </w:trPr>
        <w:tc>
          <w:tcPr>
            <w:tcW w:w="13392" w:type="dxa"/>
            <w:gridSpan w:val="2"/>
            <w:tcBorders>
              <w:right w:val="single" w:sz="8" w:space="0" w:color="DADADA"/>
            </w:tcBorders>
          </w:tcPr>
          <w:p w14:paraId="6D2784A3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Character is a </w:t>
            </w:r>
            <w:r>
              <w:rPr>
                <w:rFonts w:ascii="맑은 고딕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color w:val="FF0000"/>
                <w:sz w:val="20"/>
              </w:rPr>
              <w:t>earned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behavior, and a sense of fair play </w:t>
            </w:r>
            <w:r>
              <w:rPr>
                <w:rFonts w:ascii="맑은 고딕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color w:val="FF0000"/>
                <w:sz w:val="20"/>
              </w:rPr>
              <w:t>evelops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only if coaches plan to </w:t>
            </w:r>
            <w:r>
              <w:rPr>
                <w:rFonts w:ascii="맑은 고딕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color w:val="FF0000"/>
                <w:sz w:val="20"/>
              </w:rPr>
              <w:t>each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those lessons </w:t>
            </w:r>
            <w:r>
              <w:rPr>
                <w:rFonts w:ascii="맑은 고딕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color w:val="FF0000"/>
                <w:sz w:val="20"/>
              </w:rPr>
              <w:t>ystematically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008" w:type="dxa"/>
          </w:tcPr>
          <w:p w14:paraId="20184AA4" w14:textId="77777777" w:rsidR="00D01DD0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인성이라는 것은 학습되는 행동이며 </w:t>
            </w:r>
            <w:r>
              <w:rPr>
                <w:rFonts w:ascii="맑은 고딕"/>
                <w:color w:val="000000"/>
                <w:sz w:val="16"/>
              </w:rPr>
              <w:lastRenderedPageBreak/>
              <w:t>그러한 교훈을 체계적으로 가르치고자 계획할 때만 페어 플레이 정신은 발달한다.</w:t>
            </w:r>
          </w:p>
        </w:tc>
      </w:tr>
    </w:tbl>
    <w:p w14:paraId="5B1F29FE" w14:textId="77777777" w:rsidR="004F1121" w:rsidRDefault="004F1121"/>
    <w:sectPr w:rsidR="004F1121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735574">
    <w:abstractNumId w:val="1"/>
  </w:num>
  <w:num w:numId="2" w16cid:durableId="5076424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1DD0"/>
    <w:rsid w:val="004F1121"/>
    <w:rsid w:val="00D01DD0"/>
    <w:rsid w:val="00F11E21"/>
    <w:rsid w:val="00F8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B48FA6"/>
  <w15:docId w15:val="{E2A206EA-1B42-244D-825F-7122E5322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현규 신</cp:lastModifiedBy>
  <cp:revision>2</cp:revision>
  <dcterms:created xsi:type="dcterms:W3CDTF">2026-08-06T08:32:00Z</dcterms:created>
  <dcterms:modified xsi:type="dcterms:W3CDTF">2026-08-06T08:32:00Z</dcterms:modified>
</cp:coreProperties>
</file>