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CellSpacing w:w="0" w:type="dxa"/>
        <w:tblLook w:val="04A0" w:firstRow="1" w:lastRow="0" w:firstColumn="1" w:lastColumn="0" w:noHBand="0" w:noVBand="1"/>
      </w:tblPr>
      <w:tblGrid>
        <w:gridCol w:w="7405"/>
        <w:gridCol w:w="1838"/>
      </w:tblGrid>
      <w:tr w:rsidR="00D35118" w14:paraId="37E3E095" w14:textId="77777777">
        <w:trPr>
          <w:trHeight w:val="150"/>
          <w:tblCellSpacing w:w="0" w:type="dxa"/>
        </w:trPr>
        <w:tc>
          <w:tcPr>
            <w:tcW w:w="0" w:type="auto"/>
            <w:gridSpan w:val="2"/>
            <w:vAlign w:val="center"/>
          </w:tcPr>
          <w:p w14:paraId="4B452D33" w14:textId="77777777" w:rsidR="00D35118" w:rsidRDefault="00000000">
            <w:pPr>
              <w:spacing w:after="0"/>
            </w:pPr>
            <w:r>
              <w:rPr>
                <w:rFonts w:ascii="맑은 고딕"/>
                <w:color w:val="000000"/>
                <w:sz w:val="16"/>
              </w:rPr>
              <w:t>마더텅(2025개정) 고1 11강 옛날 지문</w:t>
            </w:r>
          </w:p>
        </w:tc>
      </w:tr>
      <w:tr w:rsidR="00D35118" w14:paraId="6E066960" w14:textId="77777777">
        <w:trPr>
          <w:trHeight w:val="615"/>
          <w:tblCellSpacing w:w="0" w:type="dxa"/>
        </w:trPr>
        <w:tc>
          <w:tcPr>
            <w:tcW w:w="12960" w:type="dxa"/>
            <w:tcBorders>
              <w:top w:val="single" w:sz="8" w:space="0" w:color="DADADA"/>
            </w:tcBorders>
            <w:shd w:val="clear" w:color="auto" w:fill="BDD6EE"/>
            <w:vAlign w:val="center"/>
          </w:tcPr>
          <w:p w14:paraId="3C2B92EA" w14:textId="77777777" w:rsidR="00D35118" w:rsidRDefault="00000000">
            <w:pPr>
              <w:spacing w:after="0"/>
            </w:pPr>
            <w:r>
              <w:rPr>
                <w:rFonts w:ascii="맑은 고딕"/>
                <w:b/>
                <w:color w:val="000000"/>
                <w:sz w:val="18"/>
              </w:rPr>
              <w:t xml:space="preserve">Q. 다음 글의 밑줄 친 부분 중, 어법 상  </w:t>
            </w:r>
            <w:r>
              <w:rPr>
                <w:rFonts w:ascii="맑은 고딕"/>
                <w:b/>
                <w:color w:val="000000"/>
                <w:sz w:val="18"/>
                <w:u w:val="single"/>
              </w:rPr>
              <w:t>틀린</w:t>
            </w:r>
            <w:r>
              <w:rPr>
                <w:rFonts w:ascii="맑은 고딕"/>
                <w:b/>
                <w:color w:val="000000"/>
                <w:sz w:val="18"/>
              </w:rPr>
              <w:t xml:space="preserve"> 것을 모두 고르시오.</w:t>
            </w:r>
          </w:p>
        </w:tc>
        <w:tc>
          <w:tcPr>
            <w:tcW w:w="1440" w:type="dxa"/>
            <w:tcBorders>
              <w:top w:val="single" w:sz="8" w:space="0" w:color="DADADA"/>
            </w:tcBorders>
            <w:shd w:val="clear" w:color="auto" w:fill="BDD6EE"/>
            <w:vAlign w:val="center"/>
          </w:tcPr>
          <w:p w14:paraId="6EAFEC3A" w14:textId="77777777" w:rsidR="00D35118" w:rsidRDefault="00000000">
            <w:pPr>
              <w:spacing w:after="0"/>
              <w:jc w:val="right"/>
            </w:pPr>
            <w:r>
              <w:rPr>
                <w:rFonts w:ascii="맑은 고딕"/>
                <w:color w:val="00008B"/>
                <w:sz w:val="16"/>
              </w:rPr>
              <w:t>틀린어법(문제지)</w:t>
            </w:r>
          </w:p>
        </w:tc>
      </w:tr>
      <w:tr w:rsidR="00D35118" w14:paraId="767C6476" w14:textId="77777777">
        <w:trPr>
          <w:trHeight w:val="150"/>
          <w:tblCellSpacing w:w="0" w:type="dxa"/>
        </w:trPr>
        <w:tc>
          <w:tcPr>
            <w:tcW w:w="0" w:type="auto"/>
            <w:gridSpan w:val="2"/>
            <w:vAlign w:val="center"/>
          </w:tcPr>
          <w:p w14:paraId="07056EE8" w14:textId="77777777" w:rsidR="00D35118" w:rsidRDefault="00D35118"/>
        </w:tc>
      </w:tr>
      <w:tr w:rsidR="00D35118" w14:paraId="7E31A9C0" w14:textId="77777777">
        <w:trPr>
          <w:trHeight w:val="375"/>
          <w:tblCellSpacing w:w="0" w:type="dxa"/>
        </w:trPr>
        <w:tc>
          <w:tcPr>
            <w:tcW w:w="0" w:type="auto"/>
            <w:gridSpan w:val="2"/>
            <w:vAlign w:val="center"/>
          </w:tcPr>
          <w:p w14:paraId="1D270D30" w14:textId="77777777" w:rsidR="00D35118" w:rsidRDefault="00000000">
            <w:pPr>
              <w:spacing w:after="0"/>
            </w:pPr>
            <w:r>
              <w:rPr>
                <w:rFonts w:ascii="맑은 고딕"/>
                <w:color w:val="000000"/>
                <w:sz w:val="16"/>
              </w:rPr>
              <w:t>1. p11강-no.20번 161131  (정답 2개)</w:t>
            </w:r>
          </w:p>
        </w:tc>
      </w:tr>
      <w:tr w:rsidR="00D35118" w14:paraId="7F6AA652" w14:textId="77777777">
        <w:trPr>
          <w:trHeight w:val="75"/>
          <w:tblCellSpacing w:w="0" w:type="dxa"/>
        </w:trPr>
        <w:tc>
          <w:tcPr>
            <w:tcW w:w="0" w:type="auto"/>
            <w:gridSpan w:val="2"/>
          </w:tcPr>
          <w:p w14:paraId="524A173F" w14:textId="77777777" w:rsidR="00D35118" w:rsidRDefault="00000000">
            <w:pPr>
              <w:spacing w:after="0" w:line="240" w:lineRule="auto"/>
              <w:jc w:val="both"/>
            </w:pPr>
            <w:r>
              <w:rPr>
                <w:rFonts w:ascii="맑은 고딕"/>
                <w:color w:val="000000"/>
                <w:sz w:val="20"/>
              </w:rPr>
              <w:t>People are attracted to individuals and things they cannot readily obtain. In the case with things, people are more attracted to a(n) ①</w:t>
            </w:r>
            <w:r>
              <w:rPr>
                <w:rFonts w:ascii="맑은 고딕"/>
                <w:b/>
                <w:color w:val="000000"/>
                <w:sz w:val="20"/>
                <w:u w:val="single"/>
              </w:rPr>
              <w:t>desired</w:t>
            </w:r>
            <w:r>
              <w:rPr>
                <w:rFonts w:ascii="맑은 고딕"/>
                <w:color w:val="000000"/>
                <w:sz w:val="20"/>
              </w:rPr>
              <w:t xml:space="preserve"> object because it is out of their reach. When the object of desire is finally gained, the attraction for the object rapidly decreases. Christmas presents provide a good example of this phenomenon. Toys children ②</w:t>
            </w:r>
            <w:r>
              <w:rPr>
                <w:rFonts w:ascii="맑은 고딕"/>
                <w:b/>
                <w:color w:val="000000"/>
                <w:sz w:val="20"/>
                <w:u w:val="single"/>
              </w:rPr>
              <w:t>wanted</w:t>
            </w:r>
            <w:r>
              <w:rPr>
                <w:rFonts w:ascii="맑은 고딕"/>
                <w:color w:val="000000"/>
                <w:sz w:val="20"/>
              </w:rPr>
              <w:t xml:space="preserve"> all year long ③</w:t>
            </w:r>
            <w:r>
              <w:rPr>
                <w:rFonts w:ascii="맑은 고딕"/>
                <w:b/>
                <w:color w:val="000000"/>
                <w:sz w:val="20"/>
                <w:u w:val="single"/>
              </w:rPr>
              <w:t>are thrown</w:t>
            </w:r>
            <w:r>
              <w:rPr>
                <w:rFonts w:ascii="맑은 고딕"/>
                <w:color w:val="000000"/>
                <w:sz w:val="20"/>
              </w:rPr>
              <w:t xml:space="preserve"> away several days after they are taken from gift boxes under the tree. The phenomenon also holds true for human interaction, particularly in the early stages of a developing relationship. The common dating rule has scientific merit. An individual should not always make himself or herself ④</w:t>
            </w:r>
            <w:r>
              <w:rPr>
                <w:rFonts w:ascii="맑은 고딕"/>
                <w:b/>
                <w:color w:val="000000"/>
                <w:sz w:val="20"/>
                <w:u w:val="single"/>
              </w:rPr>
              <w:t>ready</w:t>
            </w:r>
            <w:r>
              <w:rPr>
                <w:rFonts w:ascii="맑은 고딕"/>
                <w:color w:val="000000"/>
                <w:sz w:val="20"/>
              </w:rPr>
              <w:t xml:space="preserve"> available to the person they are ⑤</w:t>
            </w:r>
            <w:r>
              <w:rPr>
                <w:rFonts w:ascii="맑은 고딕"/>
                <w:b/>
                <w:color w:val="000000"/>
                <w:sz w:val="20"/>
                <w:u w:val="single"/>
              </w:rPr>
              <w:t>targeted</w:t>
            </w:r>
            <w:r>
              <w:rPr>
                <w:rFonts w:ascii="맑은 고딕"/>
                <w:color w:val="000000"/>
                <w:sz w:val="20"/>
              </w:rPr>
              <w:t xml:space="preserve"> for a longer-term relationship. A certain level of unavailability will make you more of a mystery and a challenge. </w:t>
            </w:r>
          </w:p>
        </w:tc>
      </w:tr>
      <w:tr w:rsidR="00D35118" w14:paraId="56E44D0A" w14:textId="77777777">
        <w:trPr>
          <w:trHeight w:val="150"/>
          <w:tblCellSpacing w:w="0" w:type="dxa"/>
        </w:trPr>
        <w:tc>
          <w:tcPr>
            <w:tcW w:w="0" w:type="auto"/>
            <w:gridSpan w:val="2"/>
            <w:vAlign w:val="center"/>
          </w:tcPr>
          <w:p w14:paraId="397BA135" w14:textId="77777777" w:rsidR="00D35118" w:rsidRDefault="00D35118"/>
        </w:tc>
      </w:tr>
      <w:tr w:rsidR="00D35118" w14:paraId="485A2C80" w14:textId="77777777">
        <w:trPr>
          <w:trHeight w:val="375"/>
          <w:tblCellSpacing w:w="0" w:type="dxa"/>
        </w:trPr>
        <w:tc>
          <w:tcPr>
            <w:tcW w:w="0" w:type="auto"/>
            <w:gridSpan w:val="2"/>
            <w:vAlign w:val="center"/>
          </w:tcPr>
          <w:p w14:paraId="0F6C49DC" w14:textId="77777777" w:rsidR="00D35118" w:rsidRDefault="00000000">
            <w:pPr>
              <w:spacing w:after="0"/>
            </w:pPr>
            <w:r>
              <w:rPr>
                <w:rFonts w:ascii="맑은 고딕"/>
                <w:color w:val="000000"/>
                <w:sz w:val="16"/>
              </w:rPr>
              <w:t>2. p11강-no.30번 190633  (정답 1개)</w:t>
            </w:r>
          </w:p>
        </w:tc>
      </w:tr>
      <w:tr w:rsidR="00D35118" w14:paraId="6E2C58A5" w14:textId="77777777">
        <w:trPr>
          <w:trHeight w:val="75"/>
          <w:tblCellSpacing w:w="0" w:type="dxa"/>
        </w:trPr>
        <w:tc>
          <w:tcPr>
            <w:tcW w:w="0" w:type="auto"/>
            <w:gridSpan w:val="2"/>
          </w:tcPr>
          <w:p w14:paraId="466A1174" w14:textId="77777777" w:rsidR="00D35118" w:rsidRDefault="00000000">
            <w:pPr>
              <w:spacing w:after="0" w:line="240" w:lineRule="auto"/>
              <w:jc w:val="both"/>
            </w:pPr>
            <w:r>
              <w:rPr>
                <w:rFonts w:ascii="맑은 고딕"/>
                <w:color w:val="000000"/>
                <w:sz w:val="20"/>
              </w:rPr>
              <w:t>The mind is essentially a survival machine. Attack and defense against other minds, gathering, storing, and ①</w:t>
            </w:r>
            <w:r>
              <w:rPr>
                <w:rFonts w:ascii="맑은 고딕"/>
                <w:b/>
                <w:color w:val="000000"/>
                <w:sz w:val="20"/>
                <w:u w:val="single"/>
              </w:rPr>
              <w:t>analyzing</w:t>
            </w:r>
            <w:r>
              <w:rPr>
                <w:rFonts w:ascii="맑은 고딕"/>
                <w:color w:val="000000"/>
                <w:sz w:val="20"/>
              </w:rPr>
              <w:t xml:space="preserve"> information ― this is what it is good at, but it is not at all creative. All true artists create from a place of no-mind, from inner stillness. Even great scientists ②</w:t>
            </w:r>
            <w:r>
              <w:rPr>
                <w:rFonts w:ascii="맑은 고딕"/>
                <w:b/>
                <w:color w:val="000000"/>
                <w:sz w:val="20"/>
                <w:u w:val="single"/>
              </w:rPr>
              <w:t>have reported</w:t>
            </w:r>
            <w:r>
              <w:rPr>
                <w:rFonts w:ascii="맑은 고딕"/>
                <w:color w:val="000000"/>
                <w:sz w:val="20"/>
              </w:rPr>
              <w:t xml:space="preserve"> that their creative breakthroughs came at a time of mental quietude. The ③</w:t>
            </w:r>
            <w:r>
              <w:rPr>
                <w:rFonts w:ascii="맑은 고딕"/>
                <w:b/>
                <w:color w:val="000000"/>
                <w:sz w:val="20"/>
                <w:u w:val="single"/>
              </w:rPr>
              <w:t>surprising</w:t>
            </w:r>
            <w:r>
              <w:rPr>
                <w:rFonts w:ascii="맑은 고딕"/>
                <w:color w:val="000000"/>
                <w:sz w:val="20"/>
              </w:rPr>
              <w:t xml:space="preserve"> result of a nationwide inquiry among America's most famous mathematicians, including Einstein, to find out their working methods, was ④</w:t>
            </w:r>
            <w:r>
              <w:rPr>
                <w:rFonts w:ascii="맑은 고딕"/>
                <w:b/>
                <w:color w:val="000000"/>
                <w:sz w:val="20"/>
                <w:u w:val="single"/>
              </w:rPr>
              <w:t>what</w:t>
            </w:r>
            <w:r>
              <w:rPr>
                <w:rFonts w:ascii="맑은 고딕"/>
                <w:color w:val="000000"/>
                <w:sz w:val="20"/>
              </w:rPr>
              <w:t xml:space="preserve"> thinking "plays only a subordinate part in the brief, decisive phase of the creative act itself." So I would say that the simple reason why the majority of scientists are not creative is not because they don't know how to think, but because they don't know how to stop ⑤</w:t>
            </w:r>
            <w:r>
              <w:rPr>
                <w:rFonts w:ascii="맑은 고딕"/>
                <w:b/>
                <w:color w:val="000000"/>
                <w:sz w:val="20"/>
                <w:u w:val="single"/>
              </w:rPr>
              <w:t>thinking</w:t>
            </w:r>
            <w:r>
              <w:rPr>
                <w:rFonts w:ascii="맑은 고딕"/>
                <w:color w:val="000000"/>
                <w:sz w:val="20"/>
              </w:rPr>
              <w:t xml:space="preserve">! </w:t>
            </w:r>
          </w:p>
        </w:tc>
      </w:tr>
      <w:tr w:rsidR="00D35118" w14:paraId="72831CC8" w14:textId="77777777">
        <w:trPr>
          <w:trHeight w:val="150"/>
          <w:tblCellSpacing w:w="0" w:type="dxa"/>
        </w:trPr>
        <w:tc>
          <w:tcPr>
            <w:tcW w:w="0" w:type="auto"/>
            <w:gridSpan w:val="2"/>
            <w:vAlign w:val="center"/>
          </w:tcPr>
          <w:p w14:paraId="3651930D" w14:textId="77777777" w:rsidR="00D35118" w:rsidRDefault="00D35118"/>
        </w:tc>
      </w:tr>
      <w:tr w:rsidR="00D35118" w14:paraId="70BB9A2C" w14:textId="77777777">
        <w:trPr>
          <w:trHeight w:val="375"/>
          <w:tblCellSpacing w:w="0" w:type="dxa"/>
        </w:trPr>
        <w:tc>
          <w:tcPr>
            <w:tcW w:w="0" w:type="auto"/>
            <w:gridSpan w:val="2"/>
            <w:vAlign w:val="center"/>
          </w:tcPr>
          <w:p w14:paraId="2AF4144D" w14:textId="04D8F7C1" w:rsidR="00D35118" w:rsidRDefault="00000000">
            <w:pPr>
              <w:spacing w:after="0"/>
            </w:pPr>
            <w:r>
              <w:rPr>
                <w:rFonts w:ascii="맑은 고딕"/>
                <w:color w:val="000000"/>
                <w:sz w:val="16"/>
              </w:rPr>
              <w:t>3. p11강-no.40번 21063</w:t>
            </w:r>
            <w:r w:rsidR="004A5D5C">
              <w:rPr>
                <w:rFonts w:ascii="맑은 고딕" w:hint="eastAsia"/>
                <w:color w:val="000000"/>
                <w:sz w:val="16"/>
                <w:lang w:eastAsia="ko-KR"/>
              </w:rPr>
              <w:t>2</w:t>
            </w:r>
            <w:r>
              <w:rPr>
                <w:rFonts w:ascii="맑은 고딕"/>
                <w:color w:val="000000"/>
                <w:sz w:val="16"/>
              </w:rPr>
              <w:t xml:space="preserve">  (정답 1개)</w:t>
            </w:r>
          </w:p>
        </w:tc>
      </w:tr>
      <w:tr w:rsidR="00D35118" w14:paraId="42309716" w14:textId="77777777">
        <w:trPr>
          <w:trHeight w:val="75"/>
          <w:tblCellSpacing w:w="0" w:type="dxa"/>
        </w:trPr>
        <w:tc>
          <w:tcPr>
            <w:tcW w:w="0" w:type="auto"/>
            <w:gridSpan w:val="2"/>
          </w:tcPr>
          <w:p w14:paraId="68167FC5" w14:textId="77777777" w:rsidR="00D35118" w:rsidRDefault="00000000">
            <w:pPr>
              <w:spacing w:after="0" w:line="240" w:lineRule="auto"/>
              <w:jc w:val="both"/>
            </w:pPr>
            <w:r>
              <w:rPr>
                <w:rFonts w:ascii="맑은 고딕"/>
                <w:color w:val="000000"/>
                <w:sz w:val="20"/>
              </w:rPr>
              <w:t>Research ①</w:t>
            </w:r>
            <w:r>
              <w:rPr>
                <w:rFonts w:ascii="맑은 고딕"/>
                <w:b/>
                <w:color w:val="000000"/>
                <w:sz w:val="20"/>
                <w:u w:val="single"/>
              </w:rPr>
              <w:t>has confirmed</w:t>
            </w:r>
            <w:r>
              <w:rPr>
                <w:rFonts w:ascii="맑은 고딕"/>
                <w:color w:val="000000"/>
                <w:sz w:val="20"/>
              </w:rPr>
              <w:t xml:space="preserve"> that athletes are less likely to participate in unacceptable behavior than are non-athletes. However, moral reasoning and good sporting behavior seem ②</w:t>
            </w:r>
            <w:r>
              <w:rPr>
                <w:rFonts w:ascii="맑은 고딕"/>
                <w:b/>
                <w:color w:val="000000"/>
                <w:sz w:val="20"/>
                <w:u w:val="single"/>
              </w:rPr>
              <w:t>to decline</w:t>
            </w:r>
            <w:r>
              <w:rPr>
                <w:rFonts w:ascii="맑은 고딕"/>
                <w:color w:val="000000"/>
                <w:sz w:val="20"/>
              </w:rPr>
              <w:t xml:space="preserve"> as athletes progress to higher competitive levels, in part because of the increased emphasis on winning. Thus winning can be a double-edged sword in teaching character development. Some athletes may want ③</w:t>
            </w:r>
            <w:r>
              <w:rPr>
                <w:rFonts w:ascii="맑은 고딕"/>
                <w:b/>
                <w:color w:val="000000"/>
                <w:sz w:val="20"/>
                <w:u w:val="single"/>
              </w:rPr>
              <w:t>to win</w:t>
            </w:r>
            <w:r>
              <w:rPr>
                <w:rFonts w:ascii="맑은 고딕"/>
                <w:color w:val="000000"/>
                <w:sz w:val="20"/>
              </w:rPr>
              <w:t xml:space="preserve"> so much that they lie, cheat, and break team rules. They may develop undesirable character traits ④</w:t>
            </w:r>
            <w:r>
              <w:rPr>
                <w:rFonts w:ascii="맑은 고딕"/>
                <w:b/>
                <w:color w:val="000000"/>
                <w:sz w:val="20"/>
                <w:u w:val="single"/>
              </w:rPr>
              <w:t>what</w:t>
            </w:r>
            <w:r>
              <w:rPr>
                <w:rFonts w:ascii="맑은 고딕"/>
                <w:color w:val="000000"/>
                <w:sz w:val="20"/>
              </w:rPr>
              <w:t xml:space="preserve"> can enhance their ability to win in the short term. However, when athletes resist the temptation to win in a dishonest way, they can develop positive character traits that last a lifetime. Character is a(n) ⑤</w:t>
            </w:r>
            <w:r>
              <w:rPr>
                <w:rFonts w:ascii="맑은 고딕"/>
                <w:b/>
                <w:color w:val="000000"/>
                <w:sz w:val="20"/>
                <w:u w:val="single"/>
              </w:rPr>
              <w:t>learned</w:t>
            </w:r>
            <w:r>
              <w:rPr>
                <w:rFonts w:ascii="맑은 고딕"/>
                <w:color w:val="000000"/>
                <w:sz w:val="20"/>
              </w:rPr>
              <w:t xml:space="preserve"> behavior, and a sense of fair play develops only if coaches plan to teach those lessons systematically. </w:t>
            </w:r>
          </w:p>
        </w:tc>
      </w:tr>
    </w:tbl>
    <w:p w14:paraId="5D20FDC2" w14:textId="77777777" w:rsidR="000041F0" w:rsidRDefault="000041F0"/>
    <w:sectPr w:rsidR="000041F0">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68785966">
    <w:abstractNumId w:val="1"/>
  </w:num>
  <w:num w:numId="2" w16cid:durableId="19605252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bordersDoNotSurroundHeader/>
  <w:bordersDoNotSurroundFooter/>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D35118"/>
    <w:rsid w:val="000041F0"/>
    <w:rsid w:val="004A5D5C"/>
    <w:rsid w:val="00D35118"/>
    <w:rsid w:val="00F839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CF93189"/>
  <w15:docId w15:val="{E2A206EA-1B42-244D-825F-7122E532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현규 신</cp:lastModifiedBy>
  <cp:revision>2</cp:revision>
  <dcterms:created xsi:type="dcterms:W3CDTF">2026-08-06T08:33:00Z</dcterms:created>
  <dcterms:modified xsi:type="dcterms:W3CDTF">2026-08-06T08:33:00Z</dcterms:modified>
</cp:coreProperties>
</file>