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Types>
</file>

<file path=_rels/.rels><?xml version="1.0" encoding="UTF-8" standalone="yes"?><Relationships xmlns="http://schemas.openxmlformats.org/package/2006/relationships"><Relationship Target="word/document.xml" Type="http://schemas.openxmlformats.org/officeDocument/2006/relationships/officeDocument" Id="rId1"/><Relationship Target="docProps/core.xml" Type="http://schemas.openxmlformats.org/package/2006/relationships/metadata/core-properties" Id="rId2"/><Relationship Target="docProps/app.xml" Type="http://schemas.openxmlformats.org/officeDocument/2006/relationships/extended-properties" Id="rId3"/></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mc:Ignorable="">
  <w:body>
    <w:tbl>
      <w:tblPr>
        <w:tblW w:w="0" w:type="auto"/>
        <w:tblCellSpacing w:w="0" w:type="dxa"/>
        <w:tblBorders>
          <w:top w:val="none"/>
          <w:left w:val="none"/>
          <w:bottom w:val="none"/>
          <w:right w:val="none"/>
          <w:insideH w:val="none"/>
          <w:insideV w:val="none"/>
        </w:tblBorders>
      </w:tblPr>
      <w:tblGrid>
        <w:gridCol w:w="12960"/>
        <w:gridCol w:w="1440"/>
      </w:tblGrid>
      <w:tr>
        <w:trPr>
          <w:trHeight w:val="150" w:hRule="atLeast"/>
        </w:trPr>
        <w:tc>
          <w:tcPr>
            <w:tcW w:w="0" w:type="auto"/>
            <w:gridSpan w:val="2"/>
            <w:tcBorders/>
            <w:vAlign w:val="center"/>
          </w:tcPr>
          <w:p>
            <w:pPr>
              <w:spacing w:after="0"/>
              <w:ind w:left="0"/>
              <w:jc w:val="left"/>
            </w:pPr>
            <w:r>
              <w:rPr>
                <w:rFonts w:ascii="Malgun Gothic"/>
                <w:b w:val="false"/>
                <w:i w:val="false"/>
                <w:color w:val="000000"/>
                <w:sz w:val="16"/>
              </w:rPr>
              <w:t>ReadingPower 유형편기본(2017) - Unit 13 Example, 1, 2</w:t>
            </w:r>
          </w:p>
        </w:tc>
      </w:tr>
      <w:tr>
        <w:trPr>
          <w:trHeight w:val="615" w:hRule="atLeast"/>
        </w:trPr>
        <w:tc>
          <w:tcPr>
            <w:tcW w:w="12960" w:type="dxa"/>
            <w:tcBorders>
              <w:top w:val="single" w:color="dadada" w:sz="8"/>
            </w:tcBorders>
            <w:shd w:fill="bdd6ee"/>
            <w:vAlign w:val="center"/>
          </w:tcPr>
          <w:p>
            <w:pPr>
              <w:spacing w:after="0"/>
              <w:ind w:left="0"/>
              <w:jc w:val="left"/>
            </w:pPr>
            <w:r>
              <w:rPr>
                <w:rFonts w:ascii="Malgun Gothic"/>
                <w:b/>
                <w:i w:val="false"/>
                <w:color w:val="000000"/>
                <w:sz w:val="18"/>
              </w:rPr>
              <w:t xml:space="preserve">Q. 다음 글의 밑줄 친 부분 중, 어법 상  </w:t>
            </w:r>
            <w:r>
              <w:rPr>
                <w:rFonts w:ascii="Malgun Gothic"/>
                <w:b/>
                <w:i w:val="false"/>
                <w:color w:val="000000"/>
                <w:sz w:val="18"/>
                <w:u w:val="single"/>
              </w:rPr>
              <w:t>틀린</w:t>
            </w:r>
            <w:r>
              <w:rPr>
                <w:rFonts w:ascii="Malgun Gothic"/>
                <w:b/>
                <w:i w:val="false"/>
                <w:color w:val="000000"/>
                <w:sz w:val="18"/>
              </w:rPr>
              <w:t xml:space="preserve"> 것을 모두 고르시오.</w:t>
            </w:r>
          </w:p>
        </w:tc>
        <w:tc>
          <w:tcPr>
            <w:tcW w:w="1440" w:type="dxa"/>
            <w:tcBorders>
              <w:top w:val="single" w:color="dadada" w:sz="8"/>
            </w:tcBorders>
            <w:shd w:fill="bdd6ee"/>
            <w:vAlign w:val="center"/>
          </w:tcPr>
          <w:p>
            <w:pPr>
              <w:spacing w:after="0"/>
              <w:ind w:left="0"/>
              <w:jc w:val="right"/>
            </w:pPr>
            <w:r>
              <w:rPr>
                <w:rFonts w:ascii="Malgun Gothic"/>
                <w:b w:val="false"/>
                <w:i w:val="false"/>
                <w:color w:val="00008b"/>
                <w:sz w:val="16"/>
              </w:rPr>
              <w:t>틀린어법(문제지)</w:t>
            </w:r>
          </w:p>
        </w:tc>
      </w:tr>
    </w:tbl>
    <w:tbl>
      <w:tblPr>
        <w:tblW w:w="0" w:type="auto"/>
        <w:tblCellSpacing w:w="0" w:type="dxa"/>
        <w:tblBorders>
          <w:top w:val="none"/>
          <w:left w:val="none"/>
          <w:bottom w:val="none"/>
          <w:right w:val="none"/>
          <w:insideH w:val="none"/>
          <w:insideV w:val="none"/>
        </w:tblBorders>
      </w:tblPr>
      <w:tblGrid>
        <w:gridCol w:w="7196"/>
        <w:gridCol w:w="7204"/>
      </w:tblGrid>
      <w:tr>
        <w:trPr>
          <w:trHeight w:val="150" w:hRule="atLeast"/>
        </w:trPr>
        <w:tc>
          <w:tcPr>
            <w:tcW w:w="0" w:type="auto"/>
            <w:gridSpan w:val="2"/>
            <w:tcBorders/>
            <w:vAlign w:val="center"/>
          </w:tcPr>
          <w:p/>
        </w:tc>
      </w:tr>
      <w:tr>
        <w:trPr>
          <w:trHeight w:val="300" w:hRule="atLeast"/>
        </w:trPr>
        <w:tc>
          <w:tcPr>
            <w:tcW w:w="0" w:type="auto"/>
            <w:gridSpan w:val="2"/>
            <w:tcBorders/>
            <w:vAlign w:val="center"/>
          </w:tcPr>
          <w:p>
            <w:pPr>
              <w:spacing w:after="0"/>
              <w:ind w:left="0"/>
              <w:jc w:val="left"/>
            </w:pPr>
            <w:r>
              <w:rPr>
                <w:rFonts w:ascii="Malgun Gothic"/>
                <w:b w:val="false"/>
                <w:i w:val="false"/>
                <w:color w:val="000000"/>
                <w:sz w:val="16"/>
              </w:rPr>
              <w:t>Chapter 04. 간접 글쓰기 - 13 무관한 문장 찾기</w:t>
            </w: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1. p94-Example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In an experiment, when people ①</w:t>
            </w:r>
            <w:r>
              <w:rPr>
                <w:rFonts w:ascii="Malgun Gothic"/>
                <w:b/>
                <w:i w:val="false"/>
                <w:color w:val="000000"/>
                <w:sz w:val="20"/>
                <w:u w:val="single"/>
              </w:rPr>
              <w:t>asked</w:t>
            </w:r>
            <w:r>
              <w:rPr>
                <w:rFonts w:ascii="Malgun Gothic"/>
                <w:b w:val="false"/>
                <w:i w:val="false"/>
                <w:color w:val="000000"/>
                <w:sz w:val="20"/>
              </w:rPr>
              <w:t xml:space="preserve"> to count three minutes in their heads, 25‒year‒olds were quite accurate, but 65‒year‒olds went over on average by 40 seconds. Time seemed to pass faster for the older group. This may seem meaningless, but there are a lot of benefits to ②</w:t>
            </w:r>
            <w:r>
              <w:rPr>
                <w:rFonts w:ascii="Malgun Gothic"/>
                <w:b/>
                <w:i w:val="false"/>
                <w:color w:val="000000"/>
                <w:sz w:val="20"/>
                <w:u w:val="single"/>
              </w:rPr>
              <w:t>perceiving</w:t>
            </w:r>
            <w:r>
              <w:rPr>
                <w:rFonts w:ascii="Malgun Gothic"/>
                <w:b w:val="false"/>
                <w:i w:val="false"/>
                <w:color w:val="000000"/>
                <w:sz w:val="20"/>
              </w:rPr>
              <w:t xml:space="preserve"> time like 65‒year‒olds. For example, if you ③</w:t>
            </w:r>
            <w:r>
              <w:rPr>
                <w:rFonts w:ascii="Malgun Gothic"/>
                <w:b/>
                <w:i w:val="false"/>
                <w:color w:val="000000"/>
                <w:sz w:val="20"/>
                <w:u w:val="single"/>
              </w:rPr>
              <w:t>have been working</w:t>
            </w:r>
            <w:r>
              <w:rPr>
                <w:rFonts w:ascii="Malgun Gothic"/>
                <w:b w:val="false"/>
                <w:i w:val="false"/>
                <w:color w:val="000000"/>
                <w:sz w:val="20"/>
              </w:rPr>
              <w:t xml:space="preserve"> on a project for eight hours, but it only feels like six, you will have more energy to keep going. If you have been running for 20 minutes, and you perceive it ④</w:t>
            </w:r>
            <w:r>
              <w:rPr>
                <w:rFonts w:ascii="Malgun Gothic"/>
                <w:b/>
                <w:i w:val="false"/>
                <w:color w:val="000000"/>
                <w:sz w:val="20"/>
                <w:u w:val="single"/>
              </w:rPr>
              <w:t>to be</w:t>
            </w:r>
            <w:r>
              <w:rPr>
                <w:rFonts w:ascii="Malgun Gothic"/>
                <w:b w:val="false"/>
                <w:i w:val="false"/>
                <w:color w:val="000000"/>
                <w:sz w:val="20"/>
              </w:rPr>
              <w:t xml:space="preserve"> only 13 minutes, you're more likely to have seven more minutes of energy. So, if you want to use your energy to work longer, just ⑤</w:t>
            </w:r>
            <w:r>
              <w:rPr>
                <w:rFonts w:ascii="Malgun Gothic"/>
                <w:b/>
                <w:i w:val="false"/>
                <w:color w:val="000000"/>
                <w:sz w:val="20"/>
                <w:u w:val="single"/>
              </w:rPr>
              <w:t>change</w:t>
            </w:r>
            <w:r>
              <w:rPr>
                <w:rFonts w:ascii="Malgun Gothic"/>
                <w:b w:val="false"/>
                <w:i w:val="false"/>
                <w:color w:val="000000"/>
                <w:sz w:val="20"/>
              </w:rPr>
              <w:t xml:space="preserve"> your perception of how long you have been working.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2. p96-no.1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Sometimes conflict can ①</w:t>
            </w:r>
            <w:r>
              <w:rPr>
                <w:rFonts w:ascii="Malgun Gothic"/>
                <w:b/>
                <w:i w:val="false"/>
                <w:color w:val="000000"/>
                <w:sz w:val="20"/>
                <w:u w:val="single"/>
              </w:rPr>
              <w:t>be resolved</w:t>
            </w:r>
            <w:r>
              <w:rPr>
                <w:rFonts w:ascii="Malgun Gothic"/>
                <w:b w:val="false"/>
                <w:i w:val="false"/>
                <w:color w:val="000000"/>
                <w:sz w:val="20"/>
              </w:rPr>
              <w:t xml:space="preserve"> through an expansion of resources. For example, a department may need five computers but ②</w:t>
            </w:r>
            <w:r>
              <w:rPr>
                <w:rFonts w:ascii="Malgun Gothic"/>
                <w:b/>
                <w:i w:val="false"/>
                <w:color w:val="000000"/>
                <w:sz w:val="20"/>
                <w:u w:val="single"/>
              </w:rPr>
              <w:t>has</w:t>
            </w:r>
            <w:r>
              <w:rPr>
                <w:rFonts w:ascii="Malgun Gothic"/>
                <w:b w:val="false"/>
                <w:i w:val="false"/>
                <w:color w:val="000000"/>
                <w:sz w:val="20"/>
              </w:rPr>
              <w:t xml:space="preserve"> a budget for only three. However, by talking the finance people into delaying the purchase of other equipment, there will be more money ③</w:t>
            </w:r>
            <w:r>
              <w:rPr>
                <w:rFonts w:ascii="Malgun Gothic"/>
                <w:b/>
                <w:i w:val="false"/>
                <w:color w:val="000000"/>
                <w:sz w:val="20"/>
                <w:u w:val="single"/>
              </w:rPr>
              <w:t>left</w:t>
            </w:r>
            <w:r>
              <w:rPr>
                <w:rFonts w:ascii="Malgun Gothic"/>
                <w:b w:val="false"/>
                <w:i w:val="false"/>
                <w:color w:val="000000"/>
                <w:sz w:val="20"/>
              </w:rPr>
              <w:t xml:space="preserve"> for departmental computers. Alternatively, the company may be reorganized and some people ④</w:t>
            </w:r>
            <w:r>
              <w:rPr>
                <w:rFonts w:ascii="Malgun Gothic"/>
                <w:b/>
                <w:i w:val="false"/>
                <w:color w:val="000000"/>
                <w:sz w:val="20"/>
                <w:u w:val="single"/>
              </w:rPr>
              <w:t>giving</w:t>
            </w:r>
            <w:r>
              <w:rPr>
                <w:rFonts w:ascii="Malgun Gothic"/>
                <w:b w:val="false"/>
                <w:i w:val="false"/>
                <w:color w:val="000000"/>
                <w:sz w:val="20"/>
              </w:rPr>
              <w:t xml:space="preserve"> early retirement, thus freeing up funds for computer equipment. An expansion of resources involves a reworking of the budget for the purpose of determining ⑤</w:t>
            </w:r>
            <w:r>
              <w:rPr>
                <w:rFonts w:ascii="Malgun Gothic"/>
                <w:b/>
                <w:i w:val="false"/>
                <w:color w:val="000000"/>
                <w:sz w:val="20"/>
                <w:u w:val="single"/>
              </w:rPr>
              <w:t>how</w:t>
            </w:r>
            <w:r>
              <w:rPr>
                <w:rFonts w:ascii="Malgun Gothic"/>
                <w:b w:val="false"/>
                <w:i w:val="false"/>
                <w:color w:val="000000"/>
                <w:sz w:val="20"/>
              </w:rPr>
              <w:t xml:space="preserve"> additional funds can be found.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spacing w:after="0"/>
              <w:ind w:left="0"/>
              <w:jc w:val="left"/>
            </w:pPr>
            <w:r>
              <w:rPr>
                <w:rFonts w:ascii="Malgun Gothic"/>
                <w:b w:val="false"/>
                <w:i w:val="false"/>
                <w:color w:val="000000"/>
                <w:sz w:val="16"/>
              </w:rPr>
              <w:t>3. p97-no.2  (정답 1개)</w:t>
            </w:r>
          </w:p>
        </w:tc>
      </w:tr>
      <w:tr>
        <w:trPr>
          <w:trHeight w:val="75" w:hRule="atLeast"/>
        </w:trPr>
        <w:tc>
          <w:tcPr>
            <w:tcW w:w="0" w:type="auto"/>
            <w:gridSpan w:val="2"/>
            <w:tcBorders/>
            <w:vAlign w:val="top"/>
          </w:tcPr>
          <w:p>
            <w:pPr>
              <w:spacing w:after="0" w:line="240"/>
              <w:ind w:left="0"/>
              <w:jc w:val="both"/>
            </w:pPr>
            <w:r>
              <w:rPr>
                <w:rFonts w:ascii="Malgun Gothic"/>
                <w:b w:val="false"/>
                <w:i w:val="false"/>
                <w:color w:val="000000"/>
                <w:sz w:val="20"/>
              </w:rPr>
              <w:t>A child ①</w:t>
            </w:r>
            <w:r>
              <w:rPr>
                <w:rFonts w:ascii="Malgun Gothic"/>
                <w:b/>
                <w:i w:val="false"/>
                <w:color w:val="000000"/>
                <w:sz w:val="20"/>
                <w:u w:val="single"/>
              </w:rPr>
              <w:t>who</w:t>
            </w:r>
            <w:r>
              <w:rPr>
                <w:rFonts w:ascii="Malgun Gothic"/>
                <w:b w:val="false"/>
                <w:i w:val="false"/>
                <w:color w:val="000000"/>
                <w:sz w:val="20"/>
              </w:rPr>
              <w:t xml:space="preserve"> hears a stern warning about the dangers of running in the street will have better self-esteem than a child who only hears ②</w:t>
            </w:r>
            <w:r>
              <w:rPr>
                <w:rFonts w:ascii="Malgun Gothic"/>
                <w:b/>
                <w:i w:val="false"/>
                <w:color w:val="000000"/>
                <w:sz w:val="20"/>
                <w:u w:val="single"/>
              </w:rPr>
              <w:t>that</w:t>
            </w:r>
            <w:r>
              <w:rPr>
                <w:rFonts w:ascii="Malgun Gothic"/>
                <w:b w:val="false"/>
                <w:i w:val="false"/>
                <w:color w:val="000000"/>
                <w:sz w:val="20"/>
              </w:rPr>
              <w:t xml:space="preserve"> he's a "bad boy" when he runs into the street. The child who's a "bad boy" is getting the message ③</w:t>
            </w:r>
            <w:r>
              <w:rPr>
                <w:rFonts w:ascii="Malgun Gothic"/>
                <w:b/>
                <w:i w:val="false"/>
                <w:color w:val="000000"/>
                <w:sz w:val="20"/>
                <w:u w:val="single"/>
              </w:rPr>
              <w:t>that</w:t>
            </w:r>
            <w:r>
              <w:rPr>
                <w:rFonts w:ascii="Malgun Gothic"/>
                <w:b w:val="false"/>
                <w:i w:val="false"/>
                <w:color w:val="000000"/>
                <w:sz w:val="20"/>
              </w:rPr>
              <w:t xml:space="preserve"> he and his behavior are not okay. He doesn't learn the difference between what he does and what he is. As an adult, his inner critic will attack both his behavior and his worth. Parents who carefully distinguish between inappropriate behavior and the basic goodness of the child ④</w:t>
            </w:r>
            <w:r>
              <w:rPr>
                <w:rFonts w:ascii="Malgun Gothic"/>
                <w:b/>
                <w:i w:val="false"/>
                <w:color w:val="000000"/>
                <w:sz w:val="20"/>
                <w:u w:val="single"/>
              </w:rPr>
              <w:t>raising</w:t>
            </w:r>
            <w:r>
              <w:rPr>
                <w:rFonts w:ascii="Malgun Gothic"/>
                <w:b w:val="false"/>
                <w:i w:val="false"/>
                <w:color w:val="000000"/>
                <w:sz w:val="20"/>
              </w:rPr>
              <w:t xml:space="preserve"> children who feel better about ⑤</w:t>
            </w:r>
            <w:r>
              <w:rPr>
                <w:rFonts w:ascii="Malgun Gothic"/>
                <w:b/>
                <w:i w:val="false"/>
                <w:color w:val="000000"/>
                <w:sz w:val="20"/>
                <w:u w:val="single"/>
              </w:rPr>
              <w:t>themselves</w:t>
            </w:r>
            <w:r>
              <w:rPr>
                <w:rFonts w:ascii="Malgun Gothic"/>
                <w:b w:val="false"/>
                <w:i w:val="false"/>
                <w:color w:val="000000"/>
                <w:sz w:val="20"/>
              </w:rPr>
              <w:t xml:space="preserve"> and have a far gentler inner critic. </w:t>
            </w:r>
          </w:p>
        </w:tc>
      </w:tr>
    </w:tbl>
    <w:sectPr>
      <w:pgSz w:w="11907" w:h="16839" w:code="9"/>
      <w:pgMar w:top="1440" w:right="1440" w:bottom="1440" w:left="1440"/>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abstractNum w:abstractNumId="0">
    <w:nsid w:val="16892FB7"/>
    <w:multiLevelType w:val="hybridMultilevel"/>
    <w:tmpl w:val="5A4EB96A"/>
    <w:lvl w:ilvl="0" w:tplc="0C090001">
      <w:start w:val="1"/>
      <w:numFmt w:val="bullet"/>
      <w:lvlText w:val=""/>
      <w:lvlJc w:val="left"/>
      <w:pPr>
        <w:ind w:left="720" w:hanging="360"/>
      </w:pPr>
      <w:rPr>
        <w:rFonts w:hint="default" w:ascii="Symbol" w:hAnsi="Symbol"/>
      </w:rPr>
    </w:lvl>
    <w:lvl w:ilvl="1" w:tplc="0C090003" w:tentative="true">
      <w:start w:val="1"/>
      <w:numFmt w:val="bullet"/>
      <w:lvlText w:val="o"/>
      <w:lvlJc w:val="left"/>
      <w:pPr>
        <w:ind w:left="1440" w:hanging="360"/>
      </w:pPr>
      <w:rPr>
        <w:rFonts w:hint="default" w:ascii="Courier New" w:hAnsi="Courier New" w:cs="Courier New"/>
      </w:rPr>
    </w:lvl>
    <w:lvl w:ilvl="2" w:tplc="0C090005" w:tentative="true">
      <w:start w:val="1"/>
      <w:numFmt w:val="bullet"/>
      <w:lvlText w:val=""/>
      <w:lvlJc w:val="left"/>
      <w:pPr>
        <w:ind w:left="2160" w:hanging="360"/>
      </w:pPr>
      <w:rPr>
        <w:rFonts w:hint="default" w:ascii="Wingdings" w:hAnsi="Wingdings"/>
      </w:rPr>
    </w:lvl>
    <w:lvl w:ilvl="3" w:tplc="0C090001" w:tentative="true">
      <w:start w:val="1"/>
      <w:numFmt w:val="bullet"/>
      <w:lvlText w:val=""/>
      <w:lvlJc w:val="left"/>
      <w:pPr>
        <w:ind w:left="2880" w:hanging="360"/>
      </w:pPr>
      <w:rPr>
        <w:rFonts w:hint="default" w:ascii="Symbol" w:hAnsi="Symbol"/>
      </w:rPr>
    </w:lvl>
    <w:lvl w:ilvl="4" w:tplc="0C090003" w:tentative="true">
      <w:start w:val="1"/>
      <w:numFmt w:val="bullet"/>
      <w:lvlText w:val="o"/>
      <w:lvlJc w:val="left"/>
      <w:pPr>
        <w:ind w:left="3600" w:hanging="360"/>
      </w:pPr>
      <w:rPr>
        <w:rFonts w:hint="default" w:ascii="Courier New" w:hAnsi="Courier New" w:cs="Courier New"/>
      </w:rPr>
    </w:lvl>
    <w:lvl w:ilvl="5" w:tplc="0C090005" w:tentative="true">
      <w:start w:val="1"/>
      <w:numFmt w:val="bullet"/>
      <w:lvlText w:val=""/>
      <w:lvlJc w:val="left"/>
      <w:pPr>
        <w:ind w:left="4320" w:hanging="360"/>
      </w:pPr>
      <w:rPr>
        <w:rFonts w:hint="default" w:ascii="Wingdings" w:hAnsi="Wingdings"/>
      </w:rPr>
    </w:lvl>
    <w:lvl w:ilvl="6" w:tplc="0C090001" w:tentative="true">
      <w:start w:val="1"/>
      <w:numFmt w:val="bullet"/>
      <w:lvlText w:val=""/>
      <w:lvlJc w:val="left"/>
      <w:pPr>
        <w:ind w:left="5040" w:hanging="360"/>
      </w:pPr>
      <w:rPr>
        <w:rFonts w:hint="default" w:ascii="Symbol" w:hAnsi="Symbol"/>
      </w:rPr>
    </w:lvl>
    <w:lvl w:ilvl="7" w:tplc="0C090003" w:tentative="true">
      <w:start w:val="1"/>
      <w:numFmt w:val="bullet"/>
      <w:lvlText w:val="o"/>
      <w:lvlJc w:val="left"/>
      <w:pPr>
        <w:ind w:left="5760" w:hanging="360"/>
      </w:pPr>
      <w:rPr>
        <w:rFonts w:hint="default" w:ascii="Courier New" w:hAnsi="Courier New" w:cs="Courier New"/>
      </w:rPr>
    </w:lvl>
    <w:lvl w:ilvl="8" w:tplc="0C090005" w:tentative="true">
      <w:start w:val="1"/>
      <w:numFmt w:val="bullet"/>
      <w:lvlText w:val=""/>
      <w:lvlJc w:val="left"/>
      <w:pPr>
        <w:ind w:left="6480" w:hanging="360"/>
      </w:pPr>
      <w:rPr>
        <w:rFonts w:hint="default" w:ascii="Wingdings" w:hAnsi="Wingdings"/>
      </w:rPr>
    </w:lvl>
  </w:abstractNum>
  <w:abstractNum w:abstractNumId="1">
    <w:nsid w:val="7E706046"/>
    <w:multiLevelType w:val="hybridMultilevel"/>
    <w:tmpl w:val="336E8F2C"/>
    <w:lvl w:ilvl="0" w:tplc="0C09000F">
      <w:start w:val="1"/>
      <w:numFmt w:val="decimal"/>
      <w:lvlText w:val="%1."/>
      <w:lvlJc w:val="left"/>
      <w:pPr>
        <w:ind w:left="720" w:hanging="360"/>
      </w:pPr>
    </w:lvl>
    <w:lvl w:ilvl="1" w:tplc="0C090019" w:tentative="true">
      <w:start w:val="1"/>
      <w:numFmt w:val="lowerLetter"/>
      <w:lvlText w:val="%2."/>
      <w:lvlJc w:val="left"/>
      <w:pPr>
        <w:ind w:left="1440" w:hanging="360"/>
      </w:pPr>
    </w:lvl>
    <w:lvl w:ilvl="2" w:tplc="0C09001B" w:tentative="true">
      <w:start w:val="1"/>
      <w:numFmt w:val="lowerRoman"/>
      <w:lvlText w:val="%3."/>
      <w:lvlJc w:val="right"/>
      <w:pPr>
        <w:ind w:left="2160" w:hanging="180"/>
      </w:pPr>
    </w:lvl>
    <w:lvl w:ilvl="3" w:tplc="0C09000F" w:tentative="true">
      <w:start w:val="1"/>
      <w:numFmt w:val="decimal"/>
      <w:lvlText w:val="%4."/>
      <w:lvlJc w:val="left"/>
      <w:pPr>
        <w:ind w:left="2880" w:hanging="360"/>
      </w:pPr>
    </w:lvl>
    <w:lvl w:ilvl="4" w:tplc="0C090019" w:tentative="true">
      <w:start w:val="1"/>
      <w:numFmt w:val="lowerLetter"/>
      <w:lvlText w:val="%5."/>
      <w:lvlJc w:val="left"/>
      <w:pPr>
        <w:ind w:left="3600" w:hanging="360"/>
      </w:pPr>
    </w:lvl>
    <w:lvl w:ilvl="5" w:tplc="0C09001B" w:tentative="true">
      <w:start w:val="1"/>
      <w:numFmt w:val="lowerRoman"/>
      <w:lvlText w:val="%6."/>
      <w:lvlJc w:val="right"/>
      <w:pPr>
        <w:ind w:left="4320" w:hanging="180"/>
      </w:pPr>
    </w:lvl>
    <w:lvl w:ilvl="6" w:tplc="0C09000F" w:tentative="true">
      <w:start w:val="1"/>
      <w:numFmt w:val="decimal"/>
      <w:lvlText w:val="%7."/>
      <w:lvlJc w:val="left"/>
      <w:pPr>
        <w:ind w:left="5040" w:hanging="360"/>
      </w:pPr>
    </w:lvl>
    <w:lvl w:ilvl="7" w:tplc="0C090019" w:tentative="true">
      <w:start w:val="1"/>
      <w:numFmt w:val="lowerLetter"/>
      <w:lvlText w:val="%8."/>
      <w:lvlJc w:val="left"/>
      <w:pPr>
        <w:ind w:left="5760" w:hanging="360"/>
      </w:pPr>
    </w:lvl>
    <w:lvl w:ilvl="8" w:tplc="0C09001B" w:tentative="true">
      <w:start w:val="1"/>
      <w:numFmt w:val="lowerRoman"/>
      <w:lvlText w:val="%9."/>
      <w:lvlJc w:val="right"/>
      <w:pPr>
        <w:ind w:left="6480" w:hanging="180"/>
      </w:pPr>
    </w:lvl>
  </w:abstractNum>
  <w:num w:numId="1">
    <w:abstractNumId w:val="1"/>
  </w:num>
  <w:num w:numId="2">
    <w:abstractNumId w:val="0"/>
  </w:num>
</w:numbering>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v="urn:schemas-microsoft-com:vml" xmlns:o="urn:schemas-microsoft-com:office:office"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basedOn w:val="DocDefaults"/>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 w:type="paragraph" w:styleId="DocDefaults">
    <w:name w:val="DocDefaults"/>
    <w:pPr>
      <w:spacing w:after="200" w:line="276" w:lineRule="auto"/>
    </w:pPr>
    <w:rPr>
      <w:rFonts w:asciiTheme="minorHAnsi" w:hAnsiTheme="minorHAnsi" w:eastAsiaTheme="minorHAnsi" w:cstheme="minorBidi"/>
      <w:sz w:val="22"/>
      <w:szCs w:val="22"/>
      <w:lang w:val="en-US" w:eastAsia="en-US" w:bidi="ar-SA"/>
    </w:rPr>
  </w:style>
</w:styles>
</file>

<file path=word/_rels/document.xml.rels><?xml version="1.0" encoding="UTF-8" standalone="yes"?><Relationships xmlns="http://schemas.openxmlformats.org/package/2006/relationships"><Relationship Target="styles.xml" Type="http://schemas.openxmlformats.org/officeDocument/2006/relationships/styles" Id="rId1"/><Relationship Target="numbering.xml" Type="http://schemas.openxmlformats.org/officeDocument/2006/relationships/numbering" Id="rId2"/></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cp="http://schemas.openxmlformats.org/package/2006/metadata/core-properties" xmlns:dcterms="http://purl.org/dc/terms/" xmlns:dc="http://purl.org/dc/elements/1.1/"/>
</file>