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6871"/>
        <w:gridCol w:w="2372"/>
      </w:tblGrid>
      <w:tr w:rsidR="00474AFF" w14:paraId="6AD9928E" w14:textId="77777777">
        <w:trPr>
          <w:trHeight w:val="150"/>
          <w:tblCellSpacing w:w="0" w:type="dxa"/>
        </w:trPr>
        <w:tc>
          <w:tcPr>
            <w:tcW w:w="0" w:type="auto"/>
            <w:gridSpan w:val="2"/>
            <w:vAlign w:val="center"/>
          </w:tcPr>
          <w:p w14:paraId="2FE7CE14" w14:textId="77777777" w:rsidR="00474AFF" w:rsidRDefault="00000000">
            <w:pPr>
              <w:spacing w:after="0"/>
            </w:pPr>
            <w:proofErr w:type="spellStart"/>
            <w:r>
              <w:rPr>
                <w:rFonts w:ascii="맑은 고딕"/>
                <w:color w:val="000000"/>
                <w:sz w:val="16"/>
              </w:rPr>
              <w:t>마더텅</w:t>
            </w:r>
            <w:proofErr w:type="spellEnd"/>
            <w:r>
              <w:rPr>
                <w:rFonts w:ascii="맑은 고딕"/>
                <w:color w:val="000000"/>
                <w:sz w:val="16"/>
              </w:rPr>
              <w:t xml:space="preserve"> 15</w:t>
            </w:r>
            <w:r>
              <w:rPr>
                <w:rFonts w:ascii="맑은 고딕"/>
                <w:color w:val="000000"/>
                <w:sz w:val="16"/>
              </w:rPr>
              <w:t>강</w:t>
            </w:r>
            <w:r>
              <w:rPr>
                <w:rFonts w:ascii="맑은 고딕"/>
                <w:color w:val="000000"/>
                <w:sz w:val="16"/>
              </w:rPr>
              <w:t xml:space="preserve"> </w:t>
            </w:r>
            <w:proofErr w:type="spellStart"/>
            <w:r>
              <w:rPr>
                <w:rFonts w:ascii="맑은 고딕"/>
                <w:color w:val="000000"/>
                <w:sz w:val="16"/>
              </w:rPr>
              <w:t>옛날지문</w:t>
            </w:r>
            <w:proofErr w:type="spellEnd"/>
          </w:p>
        </w:tc>
      </w:tr>
      <w:tr w:rsidR="00474AFF" w14:paraId="2BEB41BF" w14:textId="77777777" w:rsidTr="009A0E71">
        <w:trPr>
          <w:trHeight w:val="615"/>
          <w:tblCellSpacing w:w="0" w:type="dxa"/>
        </w:trPr>
        <w:tc>
          <w:tcPr>
            <w:tcW w:w="7445" w:type="dxa"/>
            <w:tcBorders>
              <w:top w:val="single" w:sz="8" w:space="0" w:color="DADADA"/>
            </w:tcBorders>
            <w:shd w:val="clear" w:color="auto" w:fill="BDD6EE"/>
            <w:vAlign w:val="center"/>
          </w:tcPr>
          <w:p w14:paraId="37D841C1" w14:textId="77777777" w:rsidR="00474AFF" w:rsidRDefault="00000000">
            <w:pPr>
              <w:spacing w:after="0"/>
              <w:rPr>
                <w:lang w:eastAsia="ko-KR"/>
              </w:rPr>
            </w:pPr>
            <w:r>
              <w:rPr>
                <w:rFonts w:ascii="맑은 고딕"/>
                <w:b/>
                <w:color w:val="000000"/>
                <w:sz w:val="18"/>
                <w:lang w:eastAsia="ko-KR"/>
              </w:rPr>
              <w:t xml:space="preserve">Q. </w:t>
            </w:r>
            <w:r>
              <w:rPr>
                <w:rFonts w:ascii="맑은 고딕"/>
                <w:b/>
                <w:color w:val="000000"/>
                <w:sz w:val="18"/>
                <w:lang w:eastAsia="ko-KR"/>
              </w:rPr>
              <w:t>문맥</w:t>
            </w:r>
            <w:r>
              <w:rPr>
                <w:rFonts w:ascii="맑은 고딕"/>
                <w:b/>
                <w:color w:val="000000"/>
                <w:sz w:val="18"/>
                <w:lang w:eastAsia="ko-KR"/>
              </w:rPr>
              <w:t xml:space="preserve"> </w:t>
            </w:r>
            <w:r>
              <w:rPr>
                <w:rFonts w:ascii="맑은 고딕"/>
                <w:b/>
                <w:color w:val="000000"/>
                <w:sz w:val="18"/>
                <w:lang w:eastAsia="ko-KR"/>
              </w:rPr>
              <w:t>상</w:t>
            </w:r>
            <w:r>
              <w:rPr>
                <w:rFonts w:ascii="맑은 고딕"/>
                <w:b/>
                <w:color w:val="000000"/>
                <w:sz w:val="18"/>
                <w:lang w:eastAsia="ko-KR"/>
              </w:rPr>
              <w:t xml:space="preserve"> </w:t>
            </w:r>
            <w:r>
              <w:rPr>
                <w:rFonts w:ascii="맑은 고딕"/>
                <w:b/>
                <w:color w:val="000000"/>
                <w:sz w:val="18"/>
                <w:lang w:eastAsia="ko-KR"/>
              </w:rPr>
              <w:t>다음</w:t>
            </w:r>
            <w:r>
              <w:rPr>
                <w:rFonts w:ascii="맑은 고딕"/>
                <w:b/>
                <w:color w:val="000000"/>
                <w:sz w:val="18"/>
                <w:lang w:eastAsia="ko-KR"/>
              </w:rPr>
              <w:t xml:space="preserve"> </w:t>
            </w:r>
            <w:r>
              <w:rPr>
                <w:rFonts w:ascii="맑은 고딕"/>
                <w:b/>
                <w:color w:val="000000"/>
                <w:sz w:val="18"/>
                <w:lang w:eastAsia="ko-KR"/>
              </w:rPr>
              <w:t>문장들의</w:t>
            </w:r>
            <w:r>
              <w:rPr>
                <w:rFonts w:ascii="맑은 고딕"/>
                <w:b/>
                <w:color w:val="000000"/>
                <w:sz w:val="18"/>
                <w:lang w:eastAsia="ko-KR"/>
              </w:rPr>
              <w:t xml:space="preserve"> </w:t>
            </w:r>
            <w:r>
              <w:rPr>
                <w:rFonts w:ascii="맑은 고딕"/>
                <w:b/>
                <w:color w:val="000000"/>
                <w:sz w:val="18"/>
                <w:lang w:eastAsia="ko-KR"/>
              </w:rPr>
              <w:t>적절한</w:t>
            </w:r>
            <w:r>
              <w:rPr>
                <w:rFonts w:ascii="맑은 고딕"/>
                <w:b/>
                <w:color w:val="000000"/>
                <w:sz w:val="18"/>
                <w:lang w:eastAsia="ko-KR"/>
              </w:rPr>
              <w:t xml:space="preserve"> </w:t>
            </w:r>
            <w:r>
              <w:rPr>
                <w:rFonts w:ascii="맑은 고딕"/>
                <w:b/>
                <w:color w:val="000000"/>
                <w:sz w:val="18"/>
                <w:lang w:eastAsia="ko-KR"/>
              </w:rPr>
              <w:t>순서를</w:t>
            </w:r>
            <w:r>
              <w:rPr>
                <w:rFonts w:ascii="맑은 고딕"/>
                <w:b/>
                <w:color w:val="000000"/>
                <w:sz w:val="18"/>
                <w:lang w:eastAsia="ko-KR"/>
              </w:rPr>
              <w:t xml:space="preserve"> </w:t>
            </w:r>
            <w:r>
              <w:rPr>
                <w:rFonts w:ascii="맑은 고딕"/>
                <w:b/>
                <w:color w:val="000000"/>
                <w:sz w:val="18"/>
                <w:lang w:eastAsia="ko-KR"/>
              </w:rPr>
              <w:t>쓰시오</w:t>
            </w:r>
            <w:r>
              <w:rPr>
                <w:rFonts w:ascii="맑은 고딕"/>
                <w:b/>
                <w:color w:val="000000"/>
                <w:sz w:val="18"/>
                <w:lang w:eastAsia="ko-KR"/>
              </w:rPr>
              <w:t>.</w:t>
            </w:r>
          </w:p>
        </w:tc>
        <w:tc>
          <w:tcPr>
            <w:tcW w:w="1798" w:type="dxa"/>
            <w:tcBorders>
              <w:top w:val="single" w:sz="8" w:space="0" w:color="DADADA"/>
            </w:tcBorders>
            <w:shd w:val="clear" w:color="auto" w:fill="BDD6EE"/>
            <w:vAlign w:val="center"/>
          </w:tcPr>
          <w:p w14:paraId="7E5F5FCD" w14:textId="77777777" w:rsidR="00474AFF" w:rsidRDefault="00000000">
            <w:pPr>
              <w:spacing w:after="0"/>
              <w:jc w:val="right"/>
            </w:pPr>
            <w:proofErr w:type="spellStart"/>
            <w:r>
              <w:rPr>
                <w:rFonts w:ascii="맑은 고딕"/>
                <w:color w:val="00008B"/>
                <w:sz w:val="16"/>
              </w:rPr>
              <w:t>문장배열</w:t>
            </w:r>
            <w:proofErr w:type="spellEnd"/>
            <w:r>
              <w:rPr>
                <w:rFonts w:ascii="맑은 고딕"/>
                <w:color w:val="00008B"/>
                <w:sz w:val="16"/>
              </w:rPr>
              <w:t>(</w:t>
            </w:r>
            <w:proofErr w:type="spellStart"/>
            <w:r>
              <w:rPr>
                <w:rFonts w:ascii="맑은 고딕"/>
                <w:color w:val="00008B"/>
                <w:sz w:val="16"/>
              </w:rPr>
              <w:t>문제지</w:t>
            </w:r>
            <w:proofErr w:type="spellEnd"/>
            <w:r>
              <w:rPr>
                <w:rFonts w:ascii="맑은 고딕"/>
                <w:color w:val="00008B"/>
                <w:sz w:val="16"/>
              </w:rPr>
              <w:t>)</w:t>
            </w:r>
          </w:p>
        </w:tc>
      </w:tr>
      <w:tr w:rsidR="00474AFF" w14:paraId="47EFA1D9" w14:textId="77777777">
        <w:trPr>
          <w:trHeight w:val="150"/>
          <w:tblCellSpacing w:w="0" w:type="dxa"/>
        </w:trPr>
        <w:tc>
          <w:tcPr>
            <w:tcW w:w="0" w:type="auto"/>
            <w:gridSpan w:val="2"/>
            <w:vAlign w:val="center"/>
          </w:tcPr>
          <w:p w14:paraId="7B46030A" w14:textId="77777777" w:rsidR="00474AFF" w:rsidRDefault="00474AFF"/>
        </w:tc>
      </w:tr>
      <w:tr w:rsidR="00474AFF" w14:paraId="3D66C6D3" w14:textId="77777777">
        <w:trPr>
          <w:trHeight w:val="375"/>
          <w:tblCellSpacing w:w="0" w:type="dxa"/>
        </w:trPr>
        <w:tc>
          <w:tcPr>
            <w:tcW w:w="0" w:type="auto"/>
            <w:gridSpan w:val="2"/>
            <w:vAlign w:val="center"/>
          </w:tcPr>
          <w:p w14:paraId="4F20EE67" w14:textId="7EEEE972" w:rsidR="00474AFF" w:rsidRPr="00A85933" w:rsidRDefault="00A85933">
            <w:pPr>
              <w:spacing w:after="0"/>
              <w:rPr>
                <w:rFonts w:eastAsia="맑은 고딕" w:hAnsi="맑은 고딕" w:cs="맑은 고딕" w:hint="eastAsia"/>
                <w:lang w:eastAsia="ko-KR"/>
              </w:rPr>
            </w:pPr>
            <w:r>
              <w:rPr>
                <w:rFonts w:ascii="맑은 고딕" w:hint="eastAsia"/>
                <w:color w:val="000000"/>
                <w:sz w:val="16"/>
                <w:lang w:eastAsia="ko-KR"/>
              </w:rPr>
              <w:t>15</w:t>
            </w:r>
            <w:r>
              <w:rPr>
                <w:rFonts w:ascii="맑은 고딕" w:eastAsia="맑은 고딕" w:hAnsi="맑은 고딕" w:cs="맑은 고딕" w:hint="eastAsia"/>
                <w:color w:val="000000"/>
                <w:sz w:val="16"/>
                <w:lang w:eastAsia="ko-KR"/>
              </w:rPr>
              <w:t>강 1번 180940</w:t>
            </w:r>
          </w:p>
        </w:tc>
      </w:tr>
      <w:tr w:rsidR="00474AFF" w14:paraId="64BA38A6" w14:textId="77777777">
        <w:trPr>
          <w:trHeight w:val="150"/>
          <w:tblCellSpacing w:w="0" w:type="dxa"/>
        </w:trPr>
        <w:tc>
          <w:tcPr>
            <w:tcW w:w="0" w:type="auto"/>
            <w:gridSpan w:val="2"/>
          </w:tcPr>
          <w:p w14:paraId="2AE66B97" w14:textId="77777777" w:rsidR="00474AFF" w:rsidRDefault="00000000">
            <w:pPr>
              <w:spacing w:after="0" w:line="240" w:lineRule="auto"/>
              <w:jc w:val="both"/>
            </w:pPr>
            <w:r>
              <w:rPr>
                <w:rFonts w:ascii="맑은 고딕"/>
                <w:color w:val="000000"/>
                <w:sz w:val="20"/>
              </w:rPr>
              <w:t>(A) Another experimenter would enter the room, move the object into the other box and exit.</w:t>
            </w:r>
          </w:p>
        </w:tc>
      </w:tr>
      <w:tr w:rsidR="00474AFF" w14:paraId="6EDEF9D9" w14:textId="77777777">
        <w:trPr>
          <w:trHeight w:val="150"/>
          <w:tblCellSpacing w:w="0" w:type="dxa"/>
        </w:trPr>
        <w:tc>
          <w:tcPr>
            <w:tcW w:w="0" w:type="auto"/>
            <w:gridSpan w:val="2"/>
          </w:tcPr>
          <w:p w14:paraId="571C2C5E" w14:textId="77777777" w:rsidR="00474AFF" w:rsidRDefault="00000000">
            <w:pPr>
              <w:spacing w:after="0" w:line="240" w:lineRule="auto"/>
              <w:jc w:val="both"/>
            </w:pPr>
            <w:r>
              <w:rPr>
                <w:rFonts w:ascii="맑은 고딕"/>
                <w:color w:val="000000"/>
                <w:sz w:val="20"/>
              </w:rPr>
              <w:t>(B) An experimenter would place an object inside one box and leave the room.</w:t>
            </w:r>
          </w:p>
        </w:tc>
      </w:tr>
      <w:tr w:rsidR="00474AFF" w14:paraId="2ABB255E" w14:textId="77777777">
        <w:trPr>
          <w:trHeight w:val="150"/>
          <w:tblCellSpacing w:w="0" w:type="dxa"/>
        </w:trPr>
        <w:tc>
          <w:tcPr>
            <w:tcW w:w="0" w:type="auto"/>
            <w:gridSpan w:val="2"/>
          </w:tcPr>
          <w:p w14:paraId="7B23E2A7" w14:textId="77777777" w:rsidR="00474AFF" w:rsidRDefault="00000000">
            <w:pPr>
              <w:spacing w:after="0" w:line="240" w:lineRule="auto"/>
              <w:jc w:val="both"/>
            </w:pPr>
            <w:r>
              <w:rPr>
                <w:rFonts w:ascii="맑은 고딕"/>
                <w:color w:val="000000"/>
                <w:sz w:val="20"/>
              </w:rPr>
              <w:t>(C) At the Leipzig Zoo in Germany, 34 zoo chimpanzees and orangutans participating in a study were each individually tested in a room, where they were put in front of two boxes.</w:t>
            </w:r>
          </w:p>
        </w:tc>
      </w:tr>
      <w:tr w:rsidR="00474AFF" w14:paraId="43EAB046" w14:textId="77777777">
        <w:trPr>
          <w:trHeight w:val="150"/>
          <w:tblCellSpacing w:w="0" w:type="dxa"/>
        </w:trPr>
        <w:tc>
          <w:tcPr>
            <w:tcW w:w="0" w:type="auto"/>
            <w:gridSpan w:val="2"/>
          </w:tcPr>
          <w:p w14:paraId="689554FF" w14:textId="77777777" w:rsidR="00474AFF" w:rsidRDefault="00000000">
            <w:pPr>
              <w:spacing w:after="0" w:line="240" w:lineRule="auto"/>
              <w:jc w:val="both"/>
            </w:pPr>
            <w:r>
              <w:rPr>
                <w:rFonts w:ascii="맑은 고딕"/>
                <w:color w:val="000000"/>
                <w:sz w:val="20"/>
              </w:rPr>
              <w:t>(D) However, most apes in the study did not help the first experimenter open the second box if the first experimenter was still in the room to see the second experimenter move the item.</w:t>
            </w:r>
          </w:p>
        </w:tc>
      </w:tr>
      <w:tr w:rsidR="00474AFF" w14:paraId="51B2A819" w14:textId="77777777">
        <w:trPr>
          <w:trHeight w:val="150"/>
          <w:tblCellSpacing w:w="0" w:type="dxa"/>
        </w:trPr>
        <w:tc>
          <w:tcPr>
            <w:tcW w:w="0" w:type="auto"/>
            <w:gridSpan w:val="2"/>
          </w:tcPr>
          <w:p w14:paraId="1D794E04" w14:textId="77777777" w:rsidR="00474AFF" w:rsidRDefault="00000000">
            <w:pPr>
              <w:spacing w:after="0" w:line="240" w:lineRule="auto"/>
              <w:jc w:val="both"/>
            </w:pPr>
            <w:r>
              <w:rPr>
                <w:rFonts w:ascii="맑은 고딕"/>
                <w:color w:val="000000"/>
                <w:sz w:val="20"/>
              </w:rPr>
              <w:t>(E) The findings show the great apes understood when the first experimenter still thought the item was where he or she last left it.</w:t>
            </w:r>
          </w:p>
        </w:tc>
      </w:tr>
      <w:tr w:rsidR="00474AFF" w14:paraId="4BECBA32" w14:textId="77777777">
        <w:trPr>
          <w:trHeight w:val="150"/>
          <w:tblCellSpacing w:w="0" w:type="dxa"/>
        </w:trPr>
        <w:tc>
          <w:tcPr>
            <w:tcW w:w="0" w:type="auto"/>
            <w:gridSpan w:val="2"/>
          </w:tcPr>
          <w:p w14:paraId="4DE7AD35" w14:textId="77777777" w:rsidR="00474AFF" w:rsidRDefault="00000000">
            <w:pPr>
              <w:spacing w:after="0" w:line="240" w:lineRule="auto"/>
              <w:jc w:val="both"/>
            </w:pPr>
            <w:r>
              <w:rPr>
                <w:rFonts w:ascii="맑은 고딕"/>
                <w:color w:val="000000"/>
                <w:sz w:val="20"/>
              </w:rPr>
              <w:t>(F) When the first experimenter returned and tried retrieving the object from the first box, the great ape would help the experimenter open the second box, which it knew the object had been transferred to.</w:t>
            </w:r>
          </w:p>
        </w:tc>
      </w:tr>
    </w:tbl>
    <w:p w14:paraId="5C515DD0" w14:textId="77777777" w:rsidR="009A0E71" w:rsidRDefault="009A0E71">
      <w:pPr>
        <w:rPr>
          <w:lang w:eastAsia="ko-KR"/>
        </w:rPr>
      </w:pPr>
    </w:p>
    <w:p w14:paraId="7490E982" w14:textId="77777777" w:rsidR="009A0E71" w:rsidRDefault="009A0E71">
      <w:pPr>
        <w:rPr>
          <w:lang w:eastAsia="ko-KR"/>
        </w:rPr>
      </w:pPr>
    </w:p>
    <w:tbl>
      <w:tblPr>
        <w:tblW w:w="0" w:type="auto"/>
        <w:tblCellSpacing w:w="0" w:type="dxa"/>
        <w:tblLook w:val="04A0" w:firstRow="1" w:lastRow="0" w:firstColumn="1" w:lastColumn="0" w:noHBand="0" w:noVBand="1"/>
      </w:tblPr>
      <w:tblGrid>
        <w:gridCol w:w="9243"/>
      </w:tblGrid>
      <w:tr w:rsidR="009A0E71" w14:paraId="3091B075" w14:textId="77777777" w:rsidTr="0049164B">
        <w:trPr>
          <w:trHeight w:val="150"/>
          <w:tblCellSpacing w:w="0" w:type="dxa"/>
        </w:trPr>
        <w:tc>
          <w:tcPr>
            <w:tcW w:w="0" w:type="auto"/>
          </w:tcPr>
          <w:tbl>
            <w:tblPr>
              <w:tblW w:w="0" w:type="auto"/>
              <w:tblCellSpacing w:w="0" w:type="dxa"/>
              <w:tblLook w:val="04A0" w:firstRow="1" w:lastRow="0" w:firstColumn="1" w:lastColumn="0" w:noHBand="0" w:noVBand="1"/>
            </w:tblPr>
            <w:tblGrid>
              <w:gridCol w:w="9007"/>
            </w:tblGrid>
            <w:tr w:rsidR="009A0E71" w14:paraId="2EAB2270" w14:textId="77777777" w:rsidTr="0049164B">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19DF82D7" w14:textId="77777777" w:rsidR="009A0E71" w:rsidRDefault="009A0E71" w:rsidP="0049164B">
                  <w:pPr>
                    <w:spacing w:after="0" w:line="240" w:lineRule="auto"/>
                  </w:pPr>
                  <w:r>
                    <w:rPr>
                      <w:rFonts w:ascii="맑은 고딕"/>
                      <w:color w:val="000000"/>
                      <w:sz w:val="20"/>
                    </w:rPr>
                    <w:t>At the Leipzig Zoo in Germany, 34 zoo chimpanzees and orangutans participating in a study were each individually tested in a room, where they were put in front of two boxes.</w:t>
                  </w:r>
                </w:p>
              </w:tc>
            </w:tr>
          </w:tbl>
          <w:p w14:paraId="7654DC3B" w14:textId="77777777" w:rsidR="009A0E71" w:rsidRDefault="009A0E71" w:rsidP="0049164B"/>
        </w:tc>
      </w:tr>
      <w:tr w:rsidR="009A0E71" w14:paraId="74EC7AB6" w14:textId="77777777" w:rsidTr="0049164B">
        <w:trPr>
          <w:trHeight w:val="150"/>
          <w:tblCellSpacing w:w="0" w:type="dxa"/>
        </w:trPr>
        <w:tc>
          <w:tcPr>
            <w:tcW w:w="0" w:type="auto"/>
          </w:tcPr>
          <w:p w14:paraId="602B3711" w14:textId="77777777" w:rsidR="009A0E71" w:rsidRDefault="009A0E71" w:rsidP="0049164B">
            <w:pPr>
              <w:spacing w:after="0" w:line="240" w:lineRule="auto"/>
              <w:jc w:val="both"/>
            </w:pPr>
            <w:r>
              <w:rPr>
                <w:rFonts w:ascii="맑은 고딕"/>
                <w:color w:val="000000"/>
                <w:sz w:val="20"/>
              </w:rPr>
              <w:t>(A) Another experimenter would enter the room, move the object into the other box and exit. When the first experimenter returned and tried retrieving the object from the first box, the great ape would help the experimenter open the second box, which it knew the object had been transferred to.</w:t>
            </w:r>
          </w:p>
        </w:tc>
      </w:tr>
      <w:tr w:rsidR="009A0E71" w14:paraId="5D608D96" w14:textId="77777777" w:rsidTr="0049164B">
        <w:trPr>
          <w:trHeight w:val="150"/>
          <w:tblCellSpacing w:w="0" w:type="dxa"/>
        </w:trPr>
        <w:tc>
          <w:tcPr>
            <w:tcW w:w="0" w:type="auto"/>
          </w:tcPr>
          <w:p w14:paraId="2F2C9BC4" w14:textId="77777777" w:rsidR="009A0E71" w:rsidRDefault="009A0E71" w:rsidP="0049164B">
            <w:pPr>
              <w:spacing w:after="0" w:line="240" w:lineRule="auto"/>
              <w:jc w:val="both"/>
            </w:pPr>
            <w:r>
              <w:rPr>
                <w:rFonts w:ascii="맑은 고딕"/>
                <w:color w:val="000000"/>
                <w:sz w:val="20"/>
              </w:rPr>
              <w:t>(B) An experimenter would place an object inside one box and leave the room.</w:t>
            </w:r>
          </w:p>
        </w:tc>
      </w:tr>
      <w:tr w:rsidR="009A0E71" w14:paraId="029F186C" w14:textId="77777777" w:rsidTr="0049164B">
        <w:trPr>
          <w:trHeight w:val="150"/>
          <w:tblCellSpacing w:w="0" w:type="dxa"/>
        </w:trPr>
        <w:tc>
          <w:tcPr>
            <w:tcW w:w="0" w:type="auto"/>
          </w:tcPr>
          <w:p w14:paraId="5C249619" w14:textId="77777777" w:rsidR="009A0E71" w:rsidRDefault="009A0E71" w:rsidP="0049164B">
            <w:pPr>
              <w:spacing w:after="0" w:line="240" w:lineRule="auto"/>
              <w:jc w:val="both"/>
            </w:pPr>
            <w:r>
              <w:rPr>
                <w:rFonts w:ascii="맑은 고딕"/>
                <w:color w:val="000000"/>
                <w:sz w:val="20"/>
              </w:rPr>
              <w:t>(C)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p>
        </w:tc>
      </w:tr>
    </w:tbl>
    <w:p w14:paraId="5088A287" w14:textId="3888D645" w:rsidR="009A0E71" w:rsidRDefault="009A0E71">
      <w:pPr>
        <w:rPr>
          <w:rFonts w:hint="eastAsia"/>
          <w:lang w:eastAsia="ko-KR"/>
        </w:rPr>
      </w:pPr>
      <w:r>
        <w:br w:type="page"/>
      </w:r>
    </w:p>
    <w:tbl>
      <w:tblPr>
        <w:tblW w:w="0" w:type="auto"/>
        <w:tblCellSpacing w:w="0" w:type="dxa"/>
        <w:tblLook w:val="04A0" w:firstRow="1" w:lastRow="0" w:firstColumn="1" w:lastColumn="0" w:noHBand="0" w:noVBand="1"/>
      </w:tblPr>
      <w:tblGrid>
        <w:gridCol w:w="9243"/>
      </w:tblGrid>
      <w:tr w:rsidR="00474AFF" w14:paraId="20D32177" w14:textId="77777777">
        <w:trPr>
          <w:trHeight w:val="150"/>
          <w:tblCellSpacing w:w="0" w:type="dxa"/>
        </w:trPr>
        <w:tc>
          <w:tcPr>
            <w:tcW w:w="0" w:type="auto"/>
            <w:vAlign w:val="center"/>
          </w:tcPr>
          <w:p w14:paraId="53AFF83D" w14:textId="37B5B25E" w:rsidR="00474AFF" w:rsidRDefault="00474AFF"/>
        </w:tc>
      </w:tr>
      <w:tr w:rsidR="00474AFF" w14:paraId="44E41C25" w14:textId="77777777">
        <w:trPr>
          <w:trHeight w:val="375"/>
          <w:tblCellSpacing w:w="0" w:type="dxa"/>
        </w:trPr>
        <w:tc>
          <w:tcPr>
            <w:tcW w:w="0" w:type="auto"/>
            <w:vAlign w:val="center"/>
          </w:tcPr>
          <w:p w14:paraId="5EB79BE2" w14:textId="5E9C3EF1" w:rsidR="00474AFF" w:rsidRPr="00A85933" w:rsidRDefault="00A85933">
            <w:pPr>
              <w:spacing w:after="0"/>
              <w:rPr>
                <w:rFonts w:eastAsia="맑은 고딕" w:hAnsi="맑은 고딕" w:cs="맑은 고딕" w:hint="eastAsia"/>
                <w:lang w:eastAsia="ko-KR"/>
              </w:rPr>
            </w:pPr>
            <w:r>
              <w:rPr>
                <w:rFonts w:ascii="맑은 고딕" w:hint="eastAsia"/>
                <w:color w:val="000000"/>
                <w:sz w:val="16"/>
                <w:lang w:eastAsia="ko-KR"/>
              </w:rPr>
              <w:t>15</w:t>
            </w:r>
            <w:r>
              <w:rPr>
                <w:rFonts w:ascii="맑은 고딕" w:eastAsia="맑은 고딕" w:hAnsi="맑은 고딕" w:cs="맑은 고딕" w:hint="eastAsia"/>
                <w:color w:val="000000"/>
                <w:sz w:val="16"/>
                <w:lang w:eastAsia="ko-KR"/>
              </w:rPr>
              <w:t>강 2번 200940</w:t>
            </w:r>
          </w:p>
        </w:tc>
      </w:tr>
      <w:tr w:rsidR="00474AFF" w14:paraId="10A3FC28" w14:textId="77777777">
        <w:trPr>
          <w:trHeight w:val="150"/>
          <w:tblCellSpacing w:w="0" w:type="dxa"/>
        </w:trPr>
        <w:tc>
          <w:tcPr>
            <w:tcW w:w="0" w:type="auto"/>
          </w:tcPr>
          <w:p w14:paraId="7E18989F" w14:textId="77777777" w:rsidR="00474AFF" w:rsidRDefault="00000000">
            <w:pPr>
              <w:spacing w:after="0" w:line="240" w:lineRule="auto"/>
              <w:jc w:val="both"/>
            </w:pPr>
            <w:r>
              <w:rPr>
                <w:rFonts w:ascii="맑은 고딕"/>
                <w:color w:val="000000"/>
                <w:sz w:val="20"/>
              </w:rPr>
              <w:t>(A) One way that music could express emotion is simply through a learned association.</w:t>
            </w:r>
          </w:p>
        </w:tc>
      </w:tr>
      <w:tr w:rsidR="00474AFF" w14:paraId="5FB705E0" w14:textId="77777777">
        <w:trPr>
          <w:trHeight w:val="150"/>
          <w:tblCellSpacing w:w="0" w:type="dxa"/>
        </w:trPr>
        <w:tc>
          <w:tcPr>
            <w:tcW w:w="0" w:type="auto"/>
          </w:tcPr>
          <w:p w14:paraId="7E0D4FB0" w14:textId="77777777" w:rsidR="00474AFF" w:rsidRDefault="00000000">
            <w:pPr>
              <w:spacing w:after="0" w:line="240" w:lineRule="auto"/>
              <w:jc w:val="both"/>
            </w:pPr>
            <w:r>
              <w:rPr>
                <w:rFonts w:ascii="맑은 고딕"/>
                <w:color w:val="000000"/>
                <w:sz w:val="20"/>
              </w:rPr>
              <w:t>(B) Maybe we have just come to hear certain kinds of music as sad because we have learned to associate them in our culture with sad events like funerals.</w:t>
            </w:r>
          </w:p>
        </w:tc>
      </w:tr>
      <w:tr w:rsidR="00474AFF" w14:paraId="62E0F17E" w14:textId="77777777">
        <w:trPr>
          <w:trHeight w:val="150"/>
          <w:tblCellSpacing w:w="0" w:type="dxa"/>
        </w:trPr>
        <w:tc>
          <w:tcPr>
            <w:tcW w:w="0" w:type="auto"/>
          </w:tcPr>
          <w:p w14:paraId="0B6954A5" w14:textId="77777777" w:rsidR="00474AFF" w:rsidRDefault="00000000">
            <w:pPr>
              <w:spacing w:after="0" w:line="240" w:lineRule="auto"/>
              <w:jc w:val="both"/>
            </w:pPr>
            <w:r>
              <w:rPr>
                <w:rFonts w:ascii="맑은 고딕"/>
                <w:color w:val="000000"/>
                <w:sz w:val="20"/>
              </w:rPr>
              <w:t>(C) Totally opposed to this view is the position that the link between music and emotion is one of resemblance.</w:t>
            </w:r>
          </w:p>
        </w:tc>
      </w:tr>
      <w:tr w:rsidR="00474AFF" w14:paraId="2EC982C7" w14:textId="77777777">
        <w:trPr>
          <w:trHeight w:val="150"/>
          <w:tblCellSpacing w:w="0" w:type="dxa"/>
        </w:trPr>
        <w:tc>
          <w:tcPr>
            <w:tcW w:w="0" w:type="auto"/>
          </w:tcPr>
          <w:p w14:paraId="6A9D4769" w14:textId="77777777" w:rsidR="00474AFF" w:rsidRDefault="00000000">
            <w:pPr>
              <w:spacing w:after="0" w:line="240" w:lineRule="auto"/>
              <w:jc w:val="both"/>
            </w:pPr>
            <w:r>
              <w:rPr>
                <w:rFonts w:ascii="맑은 고딕"/>
                <w:color w:val="000000"/>
                <w:sz w:val="20"/>
              </w:rPr>
              <w:t>(D) If this view is correct, we should have little difficulty understanding the emotion expressed in culturally unfamiliar music.</w:t>
            </w:r>
          </w:p>
        </w:tc>
      </w:tr>
      <w:tr w:rsidR="00474AFF" w14:paraId="4C9C4B6C" w14:textId="77777777">
        <w:trPr>
          <w:trHeight w:val="150"/>
          <w:tblCellSpacing w:w="0" w:type="dxa"/>
        </w:trPr>
        <w:tc>
          <w:tcPr>
            <w:tcW w:w="0" w:type="auto"/>
          </w:tcPr>
          <w:p w14:paraId="03AADAE6" w14:textId="77777777" w:rsidR="00474AFF" w:rsidRDefault="00000000">
            <w:pPr>
              <w:spacing w:after="0" w:line="240" w:lineRule="auto"/>
              <w:jc w:val="both"/>
            </w:pPr>
            <w:r>
              <w:rPr>
                <w:rFonts w:ascii="맑은 고딕"/>
                <w:color w:val="000000"/>
                <w:sz w:val="20"/>
              </w:rPr>
              <w:t xml:space="preserve">(E) For example, when we feel </w:t>
            </w:r>
            <w:proofErr w:type="gramStart"/>
            <w:r>
              <w:rPr>
                <w:rFonts w:ascii="맑은 고딕"/>
                <w:color w:val="000000"/>
                <w:sz w:val="20"/>
              </w:rPr>
              <w:t>sad</w:t>
            </w:r>
            <w:proofErr w:type="gramEnd"/>
            <w:r>
              <w:rPr>
                <w:rFonts w:ascii="맑은 고딕"/>
                <w:color w:val="000000"/>
                <w:sz w:val="20"/>
              </w:rPr>
              <w:t xml:space="preserve"> we move slowly and speak slowly and in a low-pitched voice.</w:t>
            </w:r>
          </w:p>
        </w:tc>
      </w:tr>
      <w:tr w:rsidR="00474AFF" w14:paraId="439D4BD9" w14:textId="77777777">
        <w:trPr>
          <w:trHeight w:val="150"/>
          <w:tblCellSpacing w:w="0" w:type="dxa"/>
        </w:trPr>
        <w:tc>
          <w:tcPr>
            <w:tcW w:w="0" w:type="auto"/>
          </w:tcPr>
          <w:p w14:paraId="23064BF9" w14:textId="77777777" w:rsidR="00474AFF" w:rsidRDefault="00000000">
            <w:pPr>
              <w:spacing w:after="0" w:line="240" w:lineRule="auto"/>
              <w:jc w:val="both"/>
            </w:pPr>
            <w:r>
              <w:rPr>
                <w:rFonts w:ascii="맑은 고딕"/>
                <w:color w:val="000000"/>
                <w:sz w:val="20"/>
              </w:rPr>
              <w:t xml:space="preserve">(F) </w:t>
            </w:r>
            <w:proofErr w:type="gramStart"/>
            <w:r>
              <w:rPr>
                <w:rFonts w:ascii="맑은 고딕"/>
                <w:color w:val="000000"/>
                <w:sz w:val="20"/>
              </w:rPr>
              <w:t>Thus</w:t>
            </w:r>
            <w:proofErr w:type="gramEnd"/>
            <w:r>
              <w:rPr>
                <w:rFonts w:ascii="맑은 고딕"/>
                <w:color w:val="000000"/>
                <w:sz w:val="20"/>
              </w:rPr>
              <w:t xml:space="preserve"> when we hear slow, low music, we hear it as sad.</w:t>
            </w:r>
          </w:p>
        </w:tc>
      </w:tr>
      <w:tr w:rsidR="00474AFF" w14:paraId="64C4C683" w14:textId="77777777">
        <w:trPr>
          <w:trHeight w:val="150"/>
          <w:tblCellSpacing w:w="0" w:type="dxa"/>
        </w:trPr>
        <w:tc>
          <w:tcPr>
            <w:tcW w:w="0" w:type="auto"/>
          </w:tcPr>
          <w:p w14:paraId="0473AD1C" w14:textId="77777777" w:rsidR="00474AFF" w:rsidRDefault="00000000">
            <w:pPr>
              <w:spacing w:after="0" w:line="240" w:lineRule="auto"/>
              <w:jc w:val="both"/>
            </w:pPr>
            <w:r>
              <w:rPr>
                <w:rFonts w:ascii="맑은 고딕"/>
                <w:color w:val="000000"/>
                <w:sz w:val="20"/>
              </w:rPr>
              <w:t>(G) If this view is correct, we should have difficulty interpreting the emotions expressed in culturally unfamiliar music.</w:t>
            </w:r>
          </w:p>
        </w:tc>
      </w:tr>
      <w:tr w:rsidR="00474AFF" w14:paraId="6BCA39BA" w14:textId="77777777">
        <w:trPr>
          <w:trHeight w:val="150"/>
          <w:tblCellSpacing w:w="0" w:type="dxa"/>
        </w:trPr>
        <w:tc>
          <w:tcPr>
            <w:tcW w:w="0" w:type="auto"/>
          </w:tcPr>
          <w:p w14:paraId="6C008A65" w14:textId="77777777" w:rsidR="00474AFF" w:rsidRDefault="00000000">
            <w:pPr>
              <w:spacing w:after="0" w:line="240" w:lineRule="auto"/>
              <w:jc w:val="both"/>
            </w:pPr>
            <w:r>
              <w:rPr>
                <w:rFonts w:ascii="맑은 고딕"/>
                <w:color w:val="000000"/>
                <w:sz w:val="20"/>
              </w:rPr>
              <w:t xml:space="preserve">(H) Perhaps there is nothing naturally sad about a piece of music in a minor </w:t>
            </w:r>
            <w:proofErr w:type="gramStart"/>
            <w:r>
              <w:rPr>
                <w:rFonts w:ascii="맑은 고딕"/>
                <w:color w:val="000000"/>
                <w:sz w:val="20"/>
              </w:rPr>
              <w:t>key, or</w:t>
            </w:r>
            <w:proofErr w:type="gramEnd"/>
            <w:r>
              <w:rPr>
                <w:rFonts w:ascii="맑은 고딕"/>
                <w:color w:val="000000"/>
                <w:sz w:val="20"/>
              </w:rPr>
              <w:t xml:space="preserve"> played slowly with low notes.</w:t>
            </w:r>
          </w:p>
        </w:tc>
      </w:tr>
    </w:tbl>
    <w:p w14:paraId="4F5F5509" w14:textId="77777777" w:rsidR="00B41F65" w:rsidRDefault="00B41F65">
      <w:pPr>
        <w:rPr>
          <w:lang w:eastAsia="ko-KR"/>
        </w:rPr>
      </w:pPr>
    </w:p>
    <w:p w14:paraId="2BA52DFB" w14:textId="77777777" w:rsidR="00B41F65" w:rsidRDefault="00B41F65">
      <w:pPr>
        <w:rPr>
          <w:lang w:eastAsia="ko-KR"/>
        </w:rPr>
      </w:pPr>
    </w:p>
    <w:tbl>
      <w:tblPr>
        <w:tblW w:w="0" w:type="auto"/>
        <w:tblCellSpacing w:w="0" w:type="dxa"/>
        <w:tblLook w:val="04A0" w:firstRow="1" w:lastRow="0" w:firstColumn="1" w:lastColumn="0" w:noHBand="0" w:noVBand="1"/>
      </w:tblPr>
      <w:tblGrid>
        <w:gridCol w:w="9243"/>
      </w:tblGrid>
      <w:tr w:rsidR="00B41F65" w14:paraId="09CB9054" w14:textId="77777777" w:rsidTr="0049164B">
        <w:trPr>
          <w:trHeight w:val="150"/>
          <w:tblCellSpacing w:w="0" w:type="dxa"/>
        </w:trPr>
        <w:tc>
          <w:tcPr>
            <w:tcW w:w="0" w:type="auto"/>
          </w:tcPr>
          <w:tbl>
            <w:tblPr>
              <w:tblW w:w="0" w:type="auto"/>
              <w:tblCellSpacing w:w="0" w:type="dxa"/>
              <w:tblLook w:val="04A0" w:firstRow="1" w:lastRow="0" w:firstColumn="1" w:lastColumn="0" w:noHBand="0" w:noVBand="1"/>
            </w:tblPr>
            <w:tblGrid>
              <w:gridCol w:w="9007"/>
            </w:tblGrid>
            <w:tr w:rsidR="00B41F65" w14:paraId="1E556838" w14:textId="77777777" w:rsidTr="0049164B">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70523F5B" w14:textId="77777777" w:rsidR="00B41F65" w:rsidRDefault="00B41F65" w:rsidP="0049164B">
                  <w:pPr>
                    <w:spacing w:after="0" w:line="240" w:lineRule="auto"/>
                  </w:pPr>
                  <w:r>
                    <w:rPr>
                      <w:rFonts w:ascii="맑은 고딕"/>
                      <w:color w:val="000000"/>
                      <w:sz w:val="20"/>
                    </w:rPr>
                    <w:t xml:space="preserve">For example, when we feel </w:t>
                  </w:r>
                  <w:proofErr w:type="gramStart"/>
                  <w:r>
                    <w:rPr>
                      <w:rFonts w:ascii="맑은 고딕"/>
                      <w:color w:val="000000"/>
                      <w:sz w:val="20"/>
                    </w:rPr>
                    <w:t>sad</w:t>
                  </w:r>
                  <w:proofErr w:type="gramEnd"/>
                  <w:r>
                    <w:rPr>
                      <w:rFonts w:ascii="맑은 고딕"/>
                      <w:color w:val="000000"/>
                      <w:sz w:val="20"/>
                    </w:rPr>
                    <w:t xml:space="preserve"> we move slowly and speak slowly and in a low-pitched voice.</w:t>
                  </w:r>
                </w:p>
              </w:tc>
            </w:tr>
          </w:tbl>
          <w:p w14:paraId="4D8BDDDF" w14:textId="77777777" w:rsidR="00B41F65" w:rsidRDefault="00B41F65" w:rsidP="0049164B"/>
        </w:tc>
      </w:tr>
      <w:tr w:rsidR="00B41F65" w14:paraId="1D1A856F" w14:textId="77777777" w:rsidTr="0049164B">
        <w:trPr>
          <w:trHeight w:val="75"/>
          <w:tblCellSpacing w:w="0" w:type="dxa"/>
        </w:trPr>
        <w:tc>
          <w:tcPr>
            <w:tcW w:w="0" w:type="auto"/>
          </w:tcPr>
          <w:p w14:paraId="616C9199" w14:textId="77777777" w:rsidR="00B41F65" w:rsidRDefault="00B41F65" w:rsidP="0049164B">
            <w:pPr>
              <w:spacing w:after="0" w:line="240" w:lineRule="auto"/>
              <w:jc w:val="both"/>
            </w:pPr>
            <w:r>
              <w:rPr>
                <w:rFonts w:ascii="맑은 고딕"/>
                <w:color w:val="000000"/>
                <w:sz w:val="20"/>
              </w:rPr>
              <w:t xml:space="preserve">One way that music could express emotion is simply through a learned association. Perhaps there is nothing naturally sad about a piece of music in a minor </w:t>
            </w:r>
            <w:proofErr w:type="gramStart"/>
            <w:r>
              <w:rPr>
                <w:rFonts w:ascii="맑은 고딕"/>
                <w:color w:val="000000"/>
                <w:sz w:val="20"/>
              </w:rPr>
              <w:t>key, or</w:t>
            </w:r>
            <w:proofErr w:type="gramEnd"/>
            <w:r>
              <w:rPr>
                <w:rFonts w:ascii="맑은 고딕"/>
                <w:color w:val="000000"/>
                <w:sz w:val="20"/>
              </w:rPr>
              <w:t xml:space="preserve"> played slowly with low notes. (</w:t>
            </w:r>
            <w:r>
              <w:rPr>
                <w:rFonts w:ascii="맑은 고딕"/>
                <w:color w:val="000000"/>
                <w:sz w:val="20"/>
              </w:rPr>
              <w:t>①</w:t>
            </w:r>
            <w:r>
              <w:rPr>
                <w:rFonts w:ascii="맑은 고딕"/>
                <w:color w:val="000000"/>
                <w:sz w:val="20"/>
              </w:rPr>
              <w:t>) Maybe we have just come to hear certain kinds of music as sad because we have learned to associate them in our culture with sad events like funerals. (</w:t>
            </w:r>
            <w:r>
              <w:rPr>
                <w:rFonts w:ascii="맑은 고딕"/>
                <w:color w:val="000000"/>
                <w:sz w:val="20"/>
              </w:rPr>
              <w:t>②</w:t>
            </w:r>
            <w:r>
              <w:rPr>
                <w:rFonts w:ascii="맑은 고딕"/>
                <w:color w:val="000000"/>
                <w:sz w:val="20"/>
              </w:rPr>
              <w:t>) If this view is correct, we should have difficulty interpreting the emotions expressed in culturally unfamiliar music. (</w:t>
            </w:r>
            <w:r>
              <w:rPr>
                <w:rFonts w:ascii="맑은 고딕"/>
                <w:color w:val="000000"/>
                <w:sz w:val="20"/>
              </w:rPr>
              <w:t>③</w:t>
            </w:r>
            <w:r>
              <w:rPr>
                <w:rFonts w:ascii="맑은 고딕"/>
                <w:color w:val="000000"/>
                <w:sz w:val="20"/>
              </w:rPr>
              <w:t>) Totally opposed to this view is the position that the link between music and emotion is one of resemblance. (</w:t>
            </w:r>
            <w:r>
              <w:rPr>
                <w:rFonts w:ascii="맑은 고딕"/>
                <w:color w:val="000000"/>
                <w:sz w:val="20"/>
              </w:rPr>
              <w:t>④</w:t>
            </w:r>
            <w:r>
              <w:rPr>
                <w:rFonts w:ascii="맑은 고딕"/>
                <w:color w:val="000000"/>
                <w:sz w:val="20"/>
              </w:rPr>
              <w:t>) Thus when we hear slow, low music, we hear it as sad. If this view is correct, we should have little difficulty understanding the emotion expressed in culturally unfamiliar music. (</w:t>
            </w:r>
            <w:r>
              <w:rPr>
                <w:rFonts w:ascii="맑은 고딕"/>
                <w:color w:val="000000"/>
                <w:sz w:val="20"/>
              </w:rPr>
              <w:t>⑤</w:t>
            </w:r>
            <w:r>
              <w:rPr>
                <w:rFonts w:ascii="맑은 고딕"/>
                <w:color w:val="000000"/>
                <w:sz w:val="20"/>
              </w:rPr>
              <w:t>)</w:t>
            </w:r>
          </w:p>
        </w:tc>
      </w:tr>
    </w:tbl>
    <w:p w14:paraId="5AE3650D" w14:textId="174E2319" w:rsidR="009A0E71" w:rsidRDefault="009A0E71">
      <w:r>
        <w:br w:type="page"/>
      </w:r>
    </w:p>
    <w:tbl>
      <w:tblPr>
        <w:tblW w:w="0" w:type="auto"/>
        <w:tblCellSpacing w:w="0" w:type="dxa"/>
        <w:tblLook w:val="04A0" w:firstRow="1" w:lastRow="0" w:firstColumn="1" w:lastColumn="0" w:noHBand="0" w:noVBand="1"/>
      </w:tblPr>
      <w:tblGrid>
        <w:gridCol w:w="9243"/>
      </w:tblGrid>
      <w:tr w:rsidR="00474AFF" w14:paraId="7D61140A" w14:textId="77777777">
        <w:trPr>
          <w:trHeight w:val="150"/>
          <w:tblCellSpacing w:w="0" w:type="dxa"/>
        </w:trPr>
        <w:tc>
          <w:tcPr>
            <w:tcW w:w="0" w:type="auto"/>
            <w:vAlign w:val="center"/>
          </w:tcPr>
          <w:p w14:paraId="48158A22" w14:textId="24D001D7" w:rsidR="00474AFF" w:rsidRDefault="00474AFF"/>
        </w:tc>
      </w:tr>
      <w:tr w:rsidR="00474AFF" w14:paraId="1BF7C091" w14:textId="77777777">
        <w:trPr>
          <w:trHeight w:val="375"/>
          <w:tblCellSpacing w:w="0" w:type="dxa"/>
        </w:trPr>
        <w:tc>
          <w:tcPr>
            <w:tcW w:w="0" w:type="auto"/>
            <w:vAlign w:val="center"/>
          </w:tcPr>
          <w:p w14:paraId="104AADBC" w14:textId="21FA8DC4" w:rsidR="00474AFF" w:rsidRPr="00A85933" w:rsidRDefault="00A85933">
            <w:pPr>
              <w:spacing w:after="0"/>
              <w:rPr>
                <w:rFonts w:eastAsia="맑은 고딕" w:hAnsi="맑은 고딕" w:cs="맑은 고딕" w:hint="eastAsia"/>
                <w:lang w:eastAsia="ko-KR"/>
              </w:rPr>
            </w:pPr>
            <w:r>
              <w:rPr>
                <w:rFonts w:ascii="맑은 고딕" w:hint="eastAsia"/>
                <w:color w:val="000000"/>
                <w:sz w:val="16"/>
                <w:lang w:eastAsia="ko-KR"/>
              </w:rPr>
              <w:t>15</w:t>
            </w:r>
            <w:r>
              <w:rPr>
                <w:rFonts w:ascii="맑은 고딕" w:eastAsia="맑은 고딕" w:hAnsi="맑은 고딕" w:cs="맑은 고딕" w:hint="eastAsia"/>
                <w:color w:val="000000"/>
                <w:sz w:val="16"/>
                <w:lang w:eastAsia="ko-KR"/>
              </w:rPr>
              <w:t>강 8번 191140</w:t>
            </w:r>
          </w:p>
        </w:tc>
      </w:tr>
      <w:tr w:rsidR="00474AFF" w14:paraId="3513D2F7" w14:textId="77777777">
        <w:trPr>
          <w:trHeight w:val="150"/>
          <w:tblCellSpacing w:w="0" w:type="dxa"/>
        </w:trPr>
        <w:tc>
          <w:tcPr>
            <w:tcW w:w="0" w:type="auto"/>
          </w:tcPr>
          <w:p w14:paraId="0AA34828" w14:textId="77777777" w:rsidR="00474AFF" w:rsidRDefault="00000000">
            <w:pPr>
              <w:spacing w:after="0" w:line="240" w:lineRule="auto"/>
              <w:jc w:val="both"/>
            </w:pPr>
            <w:r>
              <w:rPr>
                <w:rFonts w:ascii="맑은 고딕"/>
                <w:color w:val="000000"/>
                <w:sz w:val="20"/>
              </w:rPr>
              <w:t>(A) The perception of the same amount of discount on a product depends on its relation to the initial price.</w:t>
            </w:r>
          </w:p>
        </w:tc>
      </w:tr>
      <w:tr w:rsidR="00474AFF" w14:paraId="5E0150B8" w14:textId="77777777">
        <w:trPr>
          <w:trHeight w:val="150"/>
          <w:tblCellSpacing w:w="0" w:type="dxa"/>
        </w:trPr>
        <w:tc>
          <w:tcPr>
            <w:tcW w:w="0" w:type="auto"/>
          </w:tcPr>
          <w:p w14:paraId="54911C8E" w14:textId="77777777" w:rsidR="00474AFF" w:rsidRDefault="00000000">
            <w:pPr>
              <w:spacing w:after="0" w:line="240" w:lineRule="auto"/>
              <w:jc w:val="both"/>
            </w:pPr>
            <w:r>
              <w:rPr>
                <w:rFonts w:ascii="맑은 고딕"/>
                <w:color w:val="000000"/>
                <w:sz w:val="20"/>
              </w:rPr>
              <w:t xml:space="preserve">(B) What differed in </w:t>
            </w:r>
            <w:proofErr w:type="gramStart"/>
            <w:r>
              <w:rPr>
                <w:rFonts w:ascii="맑은 고딕"/>
                <w:color w:val="000000"/>
                <w:sz w:val="20"/>
              </w:rPr>
              <w:t>both of these</w:t>
            </w:r>
            <w:proofErr w:type="gramEnd"/>
            <w:r>
              <w:rPr>
                <w:rFonts w:ascii="맑은 고딕"/>
                <w:color w:val="000000"/>
                <w:sz w:val="20"/>
              </w:rPr>
              <w:t xml:space="preserve"> situations was the price context of the purchase.</w:t>
            </w:r>
          </w:p>
        </w:tc>
      </w:tr>
      <w:tr w:rsidR="00474AFF" w14:paraId="747103A4" w14:textId="77777777">
        <w:trPr>
          <w:trHeight w:val="150"/>
          <w:tblCellSpacing w:w="0" w:type="dxa"/>
        </w:trPr>
        <w:tc>
          <w:tcPr>
            <w:tcW w:w="0" w:type="auto"/>
          </w:tcPr>
          <w:p w14:paraId="73829A94" w14:textId="77777777" w:rsidR="00474AFF" w:rsidRDefault="00000000">
            <w:pPr>
              <w:spacing w:after="0" w:line="240" w:lineRule="auto"/>
              <w:jc w:val="both"/>
            </w:pPr>
            <w:r>
              <w:rPr>
                <w:rFonts w:ascii="맑은 고딕"/>
                <w:color w:val="000000"/>
                <w:sz w:val="20"/>
              </w:rPr>
              <w:t>(C) In one study, respondents were presented with a purchase situation.</w:t>
            </w:r>
          </w:p>
        </w:tc>
      </w:tr>
      <w:tr w:rsidR="00474AFF" w14:paraId="255343DF" w14:textId="77777777">
        <w:trPr>
          <w:trHeight w:val="150"/>
          <w:tblCellSpacing w:w="0" w:type="dxa"/>
        </w:trPr>
        <w:tc>
          <w:tcPr>
            <w:tcW w:w="0" w:type="auto"/>
          </w:tcPr>
          <w:p w14:paraId="2EA5AFBA" w14:textId="77777777" w:rsidR="00474AFF" w:rsidRDefault="00000000">
            <w:pPr>
              <w:spacing w:after="0" w:line="240" w:lineRule="auto"/>
              <w:jc w:val="both"/>
            </w:pPr>
            <w:r>
              <w:rPr>
                <w:rFonts w:ascii="맑은 고딕"/>
                <w:color w:val="000000"/>
                <w:sz w:val="20"/>
              </w:rPr>
              <w:t xml:space="preserve">(D) In the second condition, which involved buying a jacket for $125, the respondents were also told that the same product was available in a store 20 </w:t>
            </w:r>
            <w:proofErr w:type="gramStart"/>
            <w:r>
              <w:rPr>
                <w:rFonts w:ascii="맑은 고딕"/>
                <w:color w:val="000000"/>
                <w:sz w:val="20"/>
              </w:rPr>
              <w:t>minutes</w:t>
            </w:r>
            <w:proofErr w:type="gramEnd"/>
            <w:r>
              <w:rPr>
                <w:rFonts w:ascii="맑은 고딕"/>
                <w:color w:val="000000"/>
                <w:sz w:val="20"/>
              </w:rPr>
              <w:t xml:space="preserve"> away and cost $120 there.</w:t>
            </w:r>
          </w:p>
        </w:tc>
      </w:tr>
      <w:tr w:rsidR="00474AFF" w14:paraId="17A0E8C8" w14:textId="77777777">
        <w:trPr>
          <w:trHeight w:val="150"/>
          <w:tblCellSpacing w:w="0" w:type="dxa"/>
        </w:trPr>
        <w:tc>
          <w:tcPr>
            <w:tcW w:w="0" w:type="auto"/>
          </w:tcPr>
          <w:p w14:paraId="065F7890" w14:textId="77777777" w:rsidR="00474AFF" w:rsidRDefault="00000000">
            <w:pPr>
              <w:spacing w:after="0" w:line="240" w:lineRule="auto"/>
              <w:jc w:val="both"/>
            </w:pPr>
            <w:r>
              <w:rPr>
                <w:rFonts w:ascii="맑은 고딕"/>
                <w:color w:val="000000"/>
                <w:sz w:val="20"/>
              </w:rPr>
              <w:t>(E) In both cases, the product was $5 cheaper, but in the first case, the amount was 1/3 of the price, and in the second, it was 1/25 of the price.</w:t>
            </w:r>
          </w:p>
        </w:tc>
      </w:tr>
      <w:tr w:rsidR="00474AFF" w14:paraId="4314075B" w14:textId="77777777">
        <w:trPr>
          <w:trHeight w:val="150"/>
          <w:tblCellSpacing w:w="0" w:type="dxa"/>
        </w:trPr>
        <w:tc>
          <w:tcPr>
            <w:tcW w:w="0" w:type="auto"/>
          </w:tcPr>
          <w:p w14:paraId="130F0A8A" w14:textId="77777777" w:rsidR="00474AFF" w:rsidRDefault="00000000">
            <w:pPr>
              <w:spacing w:after="0" w:line="240" w:lineRule="auto"/>
              <w:jc w:val="both"/>
            </w:pPr>
            <w:r>
              <w:rPr>
                <w:rFonts w:ascii="맑은 고딕"/>
                <w:color w:val="000000"/>
                <w:sz w:val="20"/>
              </w:rPr>
              <w:t>(F) The persons put in the situation of buying a calculator that cost $15 found out from the vendor that the same product was available in a different store 20 minutes away and at a promotional price of $10.</w:t>
            </w:r>
          </w:p>
        </w:tc>
      </w:tr>
      <w:tr w:rsidR="00474AFF" w14:paraId="0E5A3CE5" w14:textId="77777777">
        <w:trPr>
          <w:trHeight w:val="150"/>
          <w:tblCellSpacing w:w="0" w:type="dxa"/>
        </w:trPr>
        <w:tc>
          <w:tcPr>
            <w:tcW w:w="0" w:type="auto"/>
          </w:tcPr>
          <w:p w14:paraId="726B02E0" w14:textId="77777777" w:rsidR="00474AFF" w:rsidRDefault="00000000">
            <w:pPr>
              <w:spacing w:after="0" w:line="240" w:lineRule="auto"/>
              <w:jc w:val="both"/>
            </w:pPr>
            <w:r>
              <w:rPr>
                <w:rFonts w:ascii="맑은 고딕"/>
                <w:color w:val="000000"/>
                <w:sz w:val="20"/>
              </w:rPr>
              <w:t xml:space="preserve">(G) In this case, 68% of respondents decided to make their way down to the store </w:t>
            </w:r>
            <w:proofErr w:type="gramStart"/>
            <w:r>
              <w:rPr>
                <w:rFonts w:ascii="맑은 고딕"/>
                <w:color w:val="000000"/>
                <w:sz w:val="20"/>
              </w:rPr>
              <w:t>in order to</w:t>
            </w:r>
            <w:proofErr w:type="gramEnd"/>
            <w:r>
              <w:rPr>
                <w:rFonts w:ascii="맑은 고딕"/>
                <w:color w:val="000000"/>
                <w:sz w:val="20"/>
              </w:rPr>
              <w:t xml:space="preserve"> save $5.</w:t>
            </w:r>
          </w:p>
        </w:tc>
      </w:tr>
      <w:tr w:rsidR="00474AFF" w14:paraId="1E0BF561" w14:textId="77777777">
        <w:trPr>
          <w:trHeight w:val="150"/>
          <w:tblCellSpacing w:w="0" w:type="dxa"/>
        </w:trPr>
        <w:tc>
          <w:tcPr>
            <w:tcW w:w="0" w:type="auto"/>
          </w:tcPr>
          <w:p w14:paraId="36DED7DC" w14:textId="77777777" w:rsidR="00474AFF" w:rsidRDefault="00000000">
            <w:pPr>
              <w:spacing w:after="0" w:line="240" w:lineRule="auto"/>
              <w:jc w:val="both"/>
            </w:pPr>
            <w:r>
              <w:rPr>
                <w:rFonts w:ascii="맑은 고딕"/>
                <w:color w:val="000000"/>
                <w:sz w:val="20"/>
              </w:rPr>
              <w:t>(H) This time, only 29% of the persons said that they would get the cheaper jacket.</w:t>
            </w:r>
          </w:p>
        </w:tc>
      </w:tr>
    </w:tbl>
    <w:p w14:paraId="5677499E" w14:textId="77777777" w:rsidR="009A0E71" w:rsidRDefault="009A0E71">
      <w:pPr>
        <w:rPr>
          <w:lang w:eastAsia="ko-KR"/>
        </w:rPr>
      </w:pPr>
    </w:p>
    <w:p w14:paraId="516215C4" w14:textId="77777777" w:rsidR="009A0E71" w:rsidRDefault="009A0E71">
      <w:pPr>
        <w:rPr>
          <w:lang w:eastAsia="ko-KR"/>
        </w:rPr>
      </w:pPr>
    </w:p>
    <w:tbl>
      <w:tblPr>
        <w:tblW w:w="0" w:type="auto"/>
        <w:tblCellSpacing w:w="0" w:type="dxa"/>
        <w:tblLook w:val="04A0" w:firstRow="1" w:lastRow="0" w:firstColumn="1" w:lastColumn="0" w:noHBand="0" w:noVBand="1"/>
      </w:tblPr>
      <w:tblGrid>
        <w:gridCol w:w="9243"/>
      </w:tblGrid>
      <w:tr w:rsidR="009A0E71" w14:paraId="451195B9" w14:textId="77777777" w:rsidTr="0049164B">
        <w:trPr>
          <w:trHeight w:val="150"/>
          <w:tblCellSpacing w:w="0" w:type="dxa"/>
        </w:trPr>
        <w:tc>
          <w:tcPr>
            <w:tcW w:w="0" w:type="auto"/>
          </w:tcPr>
          <w:tbl>
            <w:tblPr>
              <w:tblW w:w="0" w:type="auto"/>
              <w:tblCellSpacing w:w="0" w:type="dxa"/>
              <w:tblLook w:val="04A0" w:firstRow="1" w:lastRow="0" w:firstColumn="1" w:lastColumn="0" w:noHBand="0" w:noVBand="1"/>
            </w:tblPr>
            <w:tblGrid>
              <w:gridCol w:w="9007"/>
            </w:tblGrid>
            <w:tr w:rsidR="009A0E71" w14:paraId="6298CC2C" w14:textId="77777777" w:rsidTr="0049164B">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1C116693" w14:textId="77777777" w:rsidR="009A0E71" w:rsidRDefault="009A0E71" w:rsidP="0049164B">
                  <w:pPr>
                    <w:spacing w:after="0" w:line="240" w:lineRule="auto"/>
                  </w:pPr>
                  <w:r>
                    <w:rPr>
                      <w:rFonts w:ascii="맑은 고딕"/>
                      <w:color w:val="000000"/>
                      <w:sz w:val="20"/>
                    </w:rPr>
                    <w:t>The perception of the same amount of discount on a product depends on its relation to the initial price.</w:t>
                  </w:r>
                </w:p>
              </w:tc>
            </w:tr>
          </w:tbl>
          <w:p w14:paraId="1ADDABB9" w14:textId="77777777" w:rsidR="009A0E71" w:rsidRDefault="009A0E71" w:rsidP="0049164B"/>
        </w:tc>
      </w:tr>
      <w:tr w:rsidR="009A0E71" w14:paraId="6027D9A0" w14:textId="77777777" w:rsidTr="0049164B">
        <w:trPr>
          <w:trHeight w:val="150"/>
          <w:tblCellSpacing w:w="0" w:type="dxa"/>
        </w:trPr>
        <w:tc>
          <w:tcPr>
            <w:tcW w:w="0" w:type="auto"/>
          </w:tcPr>
          <w:p w14:paraId="4EA9B8EA" w14:textId="77777777" w:rsidR="009A0E71" w:rsidRDefault="009A0E71" w:rsidP="0049164B">
            <w:pPr>
              <w:spacing w:after="0" w:line="240" w:lineRule="auto"/>
              <w:jc w:val="both"/>
            </w:pPr>
            <w:r>
              <w:rPr>
                <w:rFonts w:ascii="맑은 고딕"/>
                <w:color w:val="000000"/>
                <w:sz w:val="20"/>
              </w:rPr>
              <w:t xml:space="preserve">(A) This time, only 29% of the persons said that they would get the cheaper jacket. In both cases, the product was $5 cheaper, but in the first case, the amount was 1/3 of the price, and in the second, it was 1/25 of the price. What differed in </w:t>
            </w:r>
            <w:proofErr w:type="gramStart"/>
            <w:r>
              <w:rPr>
                <w:rFonts w:ascii="맑은 고딕"/>
                <w:color w:val="000000"/>
                <w:sz w:val="20"/>
              </w:rPr>
              <w:t>both of these</w:t>
            </w:r>
            <w:proofErr w:type="gramEnd"/>
            <w:r>
              <w:rPr>
                <w:rFonts w:ascii="맑은 고딕"/>
                <w:color w:val="000000"/>
                <w:sz w:val="20"/>
              </w:rPr>
              <w:t xml:space="preserve"> situations was the price context of the purchase.</w:t>
            </w:r>
          </w:p>
        </w:tc>
      </w:tr>
      <w:tr w:rsidR="009A0E71" w14:paraId="406B7D04" w14:textId="77777777" w:rsidTr="0049164B">
        <w:trPr>
          <w:trHeight w:val="150"/>
          <w:tblCellSpacing w:w="0" w:type="dxa"/>
        </w:trPr>
        <w:tc>
          <w:tcPr>
            <w:tcW w:w="0" w:type="auto"/>
          </w:tcPr>
          <w:p w14:paraId="73D4A930" w14:textId="77777777" w:rsidR="009A0E71" w:rsidRDefault="009A0E71" w:rsidP="0049164B">
            <w:pPr>
              <w:spacing w:after="0" w:line="240" w:lineRule="auto"/>
              <w:jc w:val="both"/>
            </w:pPr>
            <w:r>
              <w:rPr>
                <w:rFonts w:ascii="맑은 고딕"/>
                <w:color w:val="000000"/>
                <w:sz w:val="20"/>
              </w:rPr>
              <w:t>(B) In one study, respondents were presented with a purchase situation. The persons put in the situation of buying a calculator that cost $15 found out from the vendor that the same product was available in a different store 20 minutes away and at a promotional price of $10.</w:t>
            </w:r>
          </w:p>
        </w:tc>
      </w:tr>
      <w:tr w:rsidR="009A0E71" w14:paraId="1ED250E8" w14:textId="77777777" w:rsidTr="0049164B">
        <w:trPr>
          <w:trHeight w:val="150"/>
          <w:tblCellSpacing w:w="0" w:type="dxa"/>
        </w:trPr>
        <w:tc>
          <w:tcPr>
            <w:tcW w:w="0" w:type="auto"/>
          </w:tcPr>
          <w:p w14:paraId="76A7CF8D" w14:textId="77777777" w:rsidR="009A0E71" w:rsidRDefault="009A0E71" w:rsidP="0049164B">
            <w:pPr>
              <w:spacing w:after="0" w:line="240" w:lineRule="auto"/>
              <w:jc w:val="both"/>
            </w:pPr>
            <w:r>
              <w:rPr>
                <w:rFonts w:ascii="맑은 고딕"/>
                <w:color w:val="000000"/>
                <w:sz w:val="20"/>
              </w:rPr>
              <w:t xml:space="preserve">(C) In this case, 68% of respondents decided to make their way down to the store </w:t>
            </w:r>
            <w:proofErr w:type="gramStart"/>
            <w:r>
              <w:rPr>
                <w:rFonts w:ascii="맑은 고딕"/>
                <w:color w:val="000000"/>
                <w:sz w:val="20"/>
              </w:rPr>
              <w:t>in order to</w:t>
            </w:r>
            <w:proofErr w:type="gramEnd"/>
            <w:r>
              <w:rPr>
                <w:rFonts w:ascii="맑은 고딕"/>
                <w:color w:val="000000"/>
                <w:sz w:val="20"/>
              </w:rPr>
              <w:t xml:space="preserve"> save $5. In the second condition, which involved buying a jacket for $125, the respondents were also told that the same product was available in a store 20 </w:t>
            </w:r>
            <w:proofErr w:type="gramStart"/>
            <w:r>
              <w:rPr>
                <w:rFonts w:ascii="맑은 고딕"/>
                <w:color w:val="000000"/>
                <w:sz w:val="20"/>
              </w:rPr>
              <w:t>minutes</w:t>
            </w:r>
            <w:proofErr w:type="gramEnd"/>
            <w:r>
              <w:rPr>
                <w:rFonts w:ascii="맑은 고딕"/>
                <w:color w:val="000000"/>
                <w:sz w:val="20"/>
              </w:rPr>
              <w:t xml:space="preserve"> away and cost $120 there.</w:t>
            </w:r>
          </w:p>
        </w:tc>
      </w:tr>
    </w:tbl>
    <w:p w14:paraId="3F8EB951" w14:textId="39501C7F" w:rsidR="009A0E71" w:rsidRDefault="009A0E71">
      <w:r>
        <w:br w:type="page"/>
      </w:r>
    </w:p>
    <w:tbl>
      <w:tblPr>
        <w:tblW w:w="0" w:type="auto"/>
        <w:tblCellSpacing w:w="0" w:type="dxa"/>
        <w:tblLook w:val="04A0" w:firstRow="1" w:lastRow="0" w:firstColumn="1" w:lastColumn="0" w:noHBand="0" w:noVBand="1"/>
      </w:tblPr>
      <w:tblGrid>
        <w:gridCol w:w="9243"/>
      </w:tblGrid>
      <w:tr w:rsidR="00474AFF" w14:paraId="391BFA68" w14:textId="77777777">
        <w:trPr>
          <w:trHeight w:val="150"/>
          <w:tblCellSpacing w:w="0" w:type="dxa"/>
        </w:trPr>
        <w:tc>
          <w:tcPr>
            <w:tcW w:w="0" w:type="auto"/>
            <w:vAlign w:val="center"/>
          </w:tcPr>
          <w:p w14:paraId="4BD157A4" w14:textId="60A89CA8" w:rsidR="00474AFF" w:rsidRDefault="00474AFF"/>
        </w:tc>
      </w:tr>
      <w:tr w:rsidR="00474AFF" w14:paraId="3073CE55" w14:textId="77777777">
        <w:trPr>
          <w:trHeight w:val="375"/>
          <w:tblCellSpacing w:w="0" w:type="dxa"/>
        </w:trPr>
        <w:tc>
          <w:tcPr>
            <w:tcW w:w="0" w:type="auto"/>
            <w:vAlign w:val="center"/>
          </w:tcPr>
          <w:p w14:paraId="01623ABB" w14:textId="4A6545D9" w:rsidR="00474AFF" w:rsidRPr="00A85933" w:rsidRDefault="00A85933">
            <w:pPr>
              <w:spacing w:after="0"/>
              <w:rPr>
                <w:rFonts w:eastAsia="맑은 고딕" w:hAnsi="맑은 고딕" w:cs="맑은 고딕" w:hint="eastAsia"/>
                <w:lang w:eastAsia="ko-KR"/>
              </w:rPr>
            </w:pPr>
            <w:r>
              <w:rPr>
                <w:rFonts w:ascii="맑은 고딕" w:hint="eastAsia"/>
                <w:color w:val="000000"/>
                <w:sz w:val="16"/>
                <w:lang w:eastAsia="ko-KR"/>
              </w:rPr>
              <w:t>15</w:t>
            </w:r>
            <w:r>
              <w:rPr>
                <w:rFonts w:ascii="맑은 고딕" w:eastAsia="맑은 고딕" w:hAnsi="맑은 고딕" w:cs="맑은 고딕" w:hint="eastAsia"/>
                <w:color w:val="000000"/>
                <w:sz w:val="16"/>
                <w:lang w:eastAsia="ko-KR"/>
              </w:rPr>
              <w:t>강 14번 171140</w:t>
            </w:r>
          </w:p>
        </w:tc>
      </w:tr>
      <w:tr w:rsidR="00474AFF" w14:paraId="7AFCF48D" w14:textId="77777777">
        <w:trPr>
          <w:trHeight w:val="150"/>
          <w:tblCellSpacing w:w="0" w:type="dxa"/>
        </w:trPr>
        <w:tc>
          <w:tcPr>
            <w:tcW w:w="0" w:type="auto"/>
          </w:tcPr>
          <w:p w14:paraId="65BF67C6" w14:textId="77777777" w:rsidR="00474AFF" w:rsidRDefault="00000000">
            <w:pPr>
              <w:spacing w:after="0" w:line="240" w:lineRule="auto"/>
              <w:jc w:val="both"/>
            </w:pPr>
            <w:r>
              <w:rPr>
                <w:rFonts w:ascii="맑은 고딕"/>
                <w:color w:val="000000"/>
                <w:sz w:val="20"/>
              </w:rPr>
              <w:t>(A) According to Peter Salovey, one of the originators of the concept of emotional intelligence, it depends on whether they perceive the new behavior as safe or risky.</w:t>
            </w:r>
          </w:p>
        </w:tc>
      </w:tr>
      <w:tr w:rsidR="00474AFF" w14:paraId="610F5C09" w14:textId="77777777">
        <w:trPr>
          <w:trHeight w:val="150"/>
          <w:tblCellSpacing w:w="0" w:type="dxa"/>
        </w:trPr>
        <w:tc>
          <w:tcPr>
            <w:tcW w:w="0" w:type="auto"/>
          </w:tcPr>
          <w:p w14:paraId="553EB0BE" w14:textId="77777777" w:rsidR="00474AFF" w:rsidRDefault="00000000">
            <w:pPr>
              <w:spacing w:after="0" w:line="240" w:lineRule="auto"/>
              <w:jc w:val="both"/>
            </w:pPr>
            <w:r>
              <w:rPr>
                <w:rFonts w:ascii="맑은 고딕"/>
                <w:color w:val="000000"/>
                <w:sz w:val="20"/>
              </w:rPr>
              <w:t>(B) They're already comfortable with the status quo, so the benefits of change aren't attractive, and the stop system kicks in.</w:t>
            </w:r>
          </w:p>
        </w:tc>
      </w:tr>
      <w:tr w:rsidR="00474AFF" w14:paraId="3F7B30A8" w14:textId="77777777">
        <w:trPr>
          <w:trHeight w:val="150"/>
          <w:tblCellSpacing w:w="0" w:type="dxa"/>
        </w:trPr>
        <w:tc>
          <w:tcPr>
            <w:tcW w:w="0" w:type="auto"/>
          </w:tcPr>
          <w:p w14:paraId="254ABE81" w14:textId="77777777" w:rsidR="00474AFF" w:rsidRDefault="00000000">
            <w:pPr>
              <w:spacing w:after="0" w:line="240" w:lineRule="auto"/>
              <w:jc w:val="both"/>
            </w:pPr>
            <w:r>
              <w:rPr>
                <w:rFonts w:ascii="맑은 고딕"/>
                <w:color w:val="000000"/>
                <w:sz w:val="20"/>
              </w:rPr>
              <w:t xml:space="preserve">(C) If they think the behavior is safe, we should emphasize all the good things that will happen if they do it </w:t>
            </w:r>
            <w:r>
              <w:rPr>
                <w:rFonts w:ascii="맑은 고딕"/>
                <w:color w:val="000000"/>
                <w:sz w:val="20"/>
              </w:rPr>
              <w:t>―</w:t>
            </w:r>
            <w:r>
              <w:rPr>
                <w:rFonts w:ascii="맑은 고딕"/>
                <w:color w:val="000000"/>
                <w:sz w:val="20"/>
              </w:rPr>
              <w:t xml:space="preserve"> they'll want to act immediately to obtain those certain gains.</w:t>
            </w:r>
          </w:p>
        </w:tc>
      </w:tr>
      <w:tr w:rsidR="00474AFF" w14:paraId="36EB7C1B" w14:textId="77777777">
        <w:trPr>
          <w:trHeight w:val="150"/>
          <w:tblCellSpacing w:w="0" w:type="dxa"/>
        </w:trPr>
        <w:tc>
          <w:tcPr>
            <w:tcW w:w="0" w:type="auto"/>
          </w:tcPr>
          <w:p w14:paraId="7406760B" w14:textId="77777777" w:rsidR="00474AFF" w:rsidRDefault="00000000">
            <w:pPr>
              <w:spacing w:after="0" w:line="240" w:lineRule="auto"/>
              <w:jc w:val="both"/>
            </w:pPr>
            <w:r>
              <w:rPr>
                <w:rFonts w:ascii="맑은 고딕"/>
                <w:color w:val="000000"/>
                <w:sz w:val="20"/>
              </w:rPr>
              <w:t>(D) The prospect of a certain loss brings the go system online.</w:t>
            </w:r>
          </w:p>
        </w:tc>
      </w:tr>
      <w:tr w:rsidR="00474AFF" w14:paraId="70B43398" w14:textId="77777777">
        <w:trPr>
          <w:trHeight w:val="150"/>
          <w:tblCellSpacing w:w="0" w:type="dxa"/>
        </w:trPr>
        <w:tc>
          <w:tcPr>
            <w:tcW w:w="0" w:type="auto"/>
          </w:tcPr>
          <w:p w14:paraId="0304F83F" w14:textId="77777777" w:rsidR="00474AFF" w:rsidRDefault="00000000">
            <w:pPr>
              <w:spacing w:after="0" w:line="240" w:lineRule="auto"/>
              <w:jc w:val="both"/>
            </w:pPr>
            <w:r>
              <w:rPr>
                <w:rFonts w:ascii="맑은 고딕"/>
                <w:color w:val="000000"/>
                <w:sz w:val="20"/>
              </w:rPr>
              <w:t>(E) Taking a risk is more appealing when they're faced with a guaranteed loss if they don't.</w:t>
            </w:r>
          </w:p>
        </w:tc>
      </w:tr>
      <w:tr w:rsidR="00474AFF" w14:paraId="581D4CB0" w14:textId="77777777">
        <w:trPr>
          <w:trHeight w:val="150"/>
          <w:tblCellSpacing w:w="0" w:type="dxa"/>
        </w:trPr>
        <w:tc>
          <w:tcPr>
            <w:tcW w:w="0" w:type="auto"/>
          </w:tcPr>
          <w:p w14:paraId="4C2C3C97" w14:textId="77777777" w:rsidR="00474AFF" w:rsidRDefault="00000000">
            <w:pPr>
              <w:spacing w:after="0" w:line="240" w:lineRule="auto"/>
              <w:jc w:val="both"/>
            </w:pPr>
            <w:r>
              <w:rPr>
                <w:rFonts w:ascii="맑은 고딕"/>
                <w:color w:val="000000"/>
                <w:sz w:val="20"/>
              </w:rPr>
              <w:t>(F) But when people believe a behavior is risky, that approach doesn't work.</w:t>
            </w:r>
          </w:p>
        </w:tc>
      </w:tr>
      <w:tr w:rsidR="00474AFF" w14:paraId="50D18FE2" w14:textId="77777777">
        <w:trPr>
          <w:trHeight w:val="150"/>
          <w:tblCellSpacing w:w="0" w:type="dxa"/>
        </w:trPr>
        <w:tc>
          <w:tcPr>
            <w:tcW w:w="0" w:type="auto"/>
          </w:tcPr>
          <w:p w14:paraId="7713E1FD" w14:textId="77777777" w:rsidR="00474AFF" w:rsidRDefault="00000000">
            <w:pPr>
              <w:spacing w:after="0" w:line="240" w:lineRule="auto"/>
              <w:jc w:val="both"/>
            </w:pPr>
            <w:r>
              <w:rPr>
                <w:rFonts w:ascii="맑은 고딕"/>
                <w:color w:val="000000"/>
                <w:sz w:val="20"/>
              </w:rPr>
              <w:t>(G) Instead, we need to destabilize the status quo and emphasize the bad things that will happen if they don't change.</w:t>
            </w:r>
          </w:p>
        </w:tc>
      </w:tr>
      <w:tr w:rsidR="00474AFF" w14:paraId="4932D169" w14:textId="77777777">
        <w:trPr>
          <w:trHeight w:val="150"/>
          <w:tblCellSpacing w:w="0" w:type="dxa"/>
        </w:trPr>
        <w:tc>
          <w:tcPr>
            <w:tcW w:w="0" w:type="auto"/>
          </w:tcPr>
          <w:p w14:paraId="1289BD60" w14:textId="77777777" w:rsidR="00474AFF" w:rsidRDefault="00000000">
            <w:pPr>
              <w:spacing w:after="0" w:line="240" w:lineRule="auto"/>
              <w:jc w:val="both"/>
            </w:pPr>
            <w:r>
              <w:rPr>
                <w:rFonts w:ascii="맑은 고딕"/>
                <w:color w:val="000000"/>
                <w:sz w:val="20"/>
              </w:rPr>
              <w:t>(H) If you want to modify people's behavior, is it better to highlight the benefits of changing or the costs of not changing?</w:t>
            </w:r>
          </w:p>
        </w:tc>
      </w:tr>
    </w:tbl>
    <w:p w14:paraId="19C1ECD1" w14:textId="77777777" w:rsidR="00B41F65" w:rsidRDefault="00B41F65">
      <w:pPr>
        <w:rPr>
          <w:lang w:eastAsia="ko-KR"/>
        </w:rPr>
      </w:pPr>
    </w:p>
    <w:p w14:paraId="7E5B9B4C" w14:textId="77777777" w:rsidR="00B41F65" w:rsidRDefault="00B41F65">
      <w:pPr>
        <w:rPr>
          <w:lang w:eastAsia="ko-KR"/>
        </w:rPr>
      </w:pPr>
    </w:p>
    <w:tbl>
      <w:tblPr>
        <w:tblW w:w="0" w:type="auto"/>
        <w:tblCellSpacing w:w="0" w:type="dxa"/>
        <w:tblLook w:val="04A0" w:firstRow="1" w:lastRow="0" w:firstColumn="1" w:lastColumn="0" w:noHBand="0" w:noVBand="1"/>
      </w:tblPr>
      <w:tblGrid>
        <w:gridCol w:w="9243"/>
      </w:tblGrid>
      <w:tr w:rsidR="00B41F65" w14:paraId="1A45882C" w14:textId="77777777" w:rsidTr="0049164B">
        <w:trPr>
          <w:trHeight w:val="150"/>
          <w:tblCellSpacing w:w="0" w:type="dxa"/>
        </w:trPr>
        <w:tc>
          <w:tcPr>
            <w:tcW w:w="0" w:type="auto"/>
          </w:tcPr>
          <w:tbl>
            <w:tblPr>
              <w:tblW w:w="0" w:type="auto"/>
              <w:tblCellSpacing w:w="0" w:type="dxa"/>
              <w:tblLook w:val="04A0" w:firstRow="1" w:lastRow="0" w:firstColumn="1" w:lastColumn="0" w:noHBand="0" w:noVBand="1"/>
            </w:tblPr>
            <w:tblGrid>
              <w:gridCol w:w="9007"/>
            </w:tblGrid>
            <w:tr w:rsidR="00B41F65" w14:paraId="6F3AF331" w14:textId="77777777" w:rsidTr="0049164B">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2EAAF30D" w14:textId="77777777" w:rsidR="00B41F65" w:rsidRDefault="00B41F65" w:rsidP="0049164B">
                  <w:pPr>
                    <w:spacing w:after="0" w:line="240" w:lineRule="auto"/>
                  </w:pPr>
                  <w:r>
                    <w:rPr>
                      <w:rFonts w:ascii="맑은 고딕"/>
                      <w:color w:val="000000"/>
                      <w:sz w:val="20"/>
                    </w:rPr>
                    <w:t>They're already comfortable with the status quo, so the benefits of change aren't attractive, and the stop system kicks in.</w:t>
                  </w:r>
                </w:p>
              </w:tc>
            </w:tr>
          </w:tbl>
          <w:p w14:paraId="439084DA" w14:textId="77777777" w:rsidR="00B41F65" w:rsidRDefault="00B41F65" w:rsidP="0049164B"/>
        </w:tc>
      </w:tr>
      <w:tr w:rsidR="00B41F65" w14:paraId="3F02C7DB" w14:textId="77777777" w:rsidTr="0049164B">
        <w:trPr>
          <w:trHeight w:val="75"/>
          <w:tblCellSpacing w:w="0" w:type="dxa"/>
        </w:trPr>
        <w:tc>
          <w:tcPr>
            <w:tcW w:w="0" w:type="auto"/>
          </w:tcPr>
          <w:p w14:paraId="7885C5D0" w14:textId="77777777" w:rsidR="00B41F65" w:rsidRDefault="00B41F65" w:rsidP="0049164B">
            <w:pPr>
              <w:spacing w:after="0" w:line="240" w:lineRule="auto"/>
              <w:jc w:val="both"/>
            </w:pPr>
            <w:r>
              <w:rPr>
                <w:rFonts w:ascii="맑은 고딕"/>
                <w:color w:val="000000"/>
                <w:sz w:val="20"/>
              </w:rPr>
              <w:t>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w:t>
            </w:r>
            <w:r>
              <w:rPr>
                <w:rFonts w:ascii="맑은 고딕"/>
                <w:color w:val="000000"/>
                <w:sz w:val="20"/>
              </w:rPr>
              <w:t>①</w:t>
            </w:r>
            <w:r>
              <w:rPr>
                <w:rFonts w:ascii="맑은 고딕"/>
                <w:color w:val="000000"/>
                <w:sz w:val="20"/>
              </w:rPr>
              <w:t xml:space="preserve">) If they think the behavior is safe, we should emphasize all the good things that will happen if they do it </w:t>
            </w:r>
            <w:r>
              <w:rPr>
                <w:rFonts w:ascii="맑은 고딕"/>
                <w:color w:val="000000"/>
                <w:sz w:val="20"/>
              </w:rPr>
              <w:t>―</w:t>
            </w:r>
            <w:r>
              <w:rPr>
                <w:rFonts w:ascii="맑은 고딕"/>
                <w:color w:val="000000"/>
                <w:sz w:val="20"/>
              </w:rPr>
              <w:t xml:space="preserve"> they'll want to act immediately to obtain those certain gains. (</w:t>
            </w:r>
            <w:r>
              <w:rPr>
                <w:rFonts w:ascii="맑은 고딕"/>
                <w:color w:val="000000"/>
                <w:sz w:val="20"/>
              </w:rPr>
              <w:t>②</w:t>
            </w:r>
            <w:r>
              <w:rPr>
                <w:rFonts w:ascii="맑은 고딕"/>
                <w:color w:val="000000"/>
                <w:sz w:val="20"/>
              </w:rPr>
              <w:t>) But when people believe a behavior is risky, that approach doesn't work. (</w:t>
            </w:r>
            <w:r>
              <w:rPr>
                <w:rFonts w:ascii="맑은 고딕"/>
                <w:color w:val="000000"/>
                <w:sz w:val="20"/>
              </w:rPr>
              <w:t>③</w:t>
            </w:r>
            <w:r>
              <w:rPr>
                <w:rFonts w:ascii="맑은 고딕"/>
                <w:color w:val="000000"/>
                <w:sz w:val="20"/>
              </w:rPr>
              <w:t>) Instead, we need to destabilize the status quo and emphasize the bad things that will happen if they don't change. (</w:t>
            </w:r>
            <w:r>
              <w:rPr>
                <w:rFonts w:ascii="맑은 고딕"/>
                <w:color w:val="000000"/>
                <w:sz w:val="20"/>
              </w:rPr>
              <w:t>④</w:t>
            </w:r>
            <w:r>
              <w:rPr>
                <w:rFonts w:ascii="맑은 고딕"/>
                <w:color w:val="000000"/>
                <w:sz w:val="20"/>
              </w:rPr>
              <w:t>) Taking a risk is more appealing when they're faced with a guaranteed loss if they don't. (</w:t>
            </w:r>
            <w:r>
              <w:rPr>
                <w:rFonts w:ascii="맑은 고딕"/>
                <w:color w:val="000000"/>
                <w:sz w:val="20"/>
              </w:rPr>
              <w:t>⑤</w:t>
            </w:r>
            <w:r>
              <w:rPr>
                <w:rFonts w:ascii="맑은 고딕"/>
                <w:color w:val="000000"/>
                <w:sz w:val="20"/>
              </w:rPr>
              <w:t>) The prospect of a certain loss brings the go system online.</w:t>
            </w:r>
          </w:p>
        </w:tc>
      </w:tr>
    </w:tbl>
    <w:p w14:paraId="71F6338F" w14:textId="3FA6D58F" w:rsidR="009A0E71" w:rsidRDefault="009A0E71">
      <w:r>
        <w:br w:type="page"/>
      </w:r>
    </w:p>
    <w:tbl>
      <w:tblPr>
        <w:tblW w:w="0" w:type="auto"/>
        <w:tblCellSpacing w:w="0" w:type="dxa"/>
        <w:tblLook w:val="04A0" w:firstRow="1" w:lastRow="0" w:firstColumn="1" w:lastColumn="0" w:noHBand="0" w:noVBand="1"/>
      </w:tblPr>
      <w:tblGrid>
        <w:gridCol w:w="9243"/>
      </w:tblGrid>
      <w:tr w:rsidR="00474AFF" w14:paraId="1C61EC31" w14:textId="77777777">
        <w:trPr>
          <w:trHeight w:val="150"/>
          <w:tblCellSpacing w:w="0" w:type="dxa"/>
        </w:trPr>
        <w:tc>
          <w:tcPr>
            <w:tcW w:w="0" w:type="auto"/>
            <w:vAlign w:val="center"/>
          </w:tcPr>
          <w:p w14:paraId="3D987233" w14:textId="61681B8F" w:rsidR="00474AFF" w:rsidRDefault="00474AFF"/>
        </w:tc>
      </w:tr>
      <w:tr w:rsidR="00474AFF" w14:paraId="136A7D1B" w14:textId="77777777">
        <w:trPr>
          <w:trHeight w:val="375"/>
          <w:tblCellSpacing w:w="0" w:type="dxa"/>
        </w:trPr>
        <w:tc>
          <w:tcPr>
            <w:tcW w:w="0" w:type="auto"/>
            <w:vAlign w:val="center"/>
          </w:tcPr>
          <w:p w14:paraId="73AEC939" w14:textId="2C551724" w:rsidR="00474AFF" w:rsidRPr="00A85933" w:rsidRDefault="00A85933">
            <w:pPr>
              <w:spacing w:after="0"/>
              <w:rPr>
                <w:rFonts w:eastAsia="맑은 고딕" w:hAnsi="맑은 고딕" w:cs="맑은 고딕" w:hint="eastAsia"/>
                <w:lang w:eastAsia="ko-KR"/>
              </w:rPr>
            </w:pPr>
            <w:r>
              <w:rPr>
                <w:rFonts w:ascii="맑은 고딕" w:hint="eastAsia"/>
                <w:color w:val="000000"/>
                <w:sz w:val="16"/>
                <w:lang w:eastAsia="ko-KR"/>
              </w:rPr>
              <w:t>15</w:t>
            </w:r>
            <w:r>
              <w:rPr>
                <w:rFonts w:ascii="맑은 고딕" w:eastAsia="맑은 고딕" w:hAnsi="맑은 고딕" w:cs="맑은 고딕" w:hint="eastAsia"/>
                <w:color w:val="000000"/>
                <w:sz w:val="16"/>
                <w:lang w:eastAsia="ko-KR"/>
              </w:rPr>
              <w:t>강 15번 180640</w:t>
            </w:r>
          </w:p>
        </w:tc>
      </w:tr>
      <w:tr w:rsidR="00474AFF" w14:paraId="0D8BBD43" w14:textId="77777777">
        <w:trPr>
          <w:trHeight w:val="150"/>
          <w:tblCellSpacing w:w="0" w:type="dxa"/>
        </w:trPr>
        <w:tc>
          <w:tcPr>
            <w:tcW w:w="0" w:type="auto"/>
          </w:tcPr>
          <w:p w14:paraId="774E2FC6" w14:textId="77777777" w:rsidR="00474AFF" w:rsidRDefault="00000000">
            <w:pPr>
              <w:spacing w:after="0" w:line="240" w:lineRule="auto"/>
              <w:jc w:val="both"/>
            </w:pPr>
            <w:r>
              <w:rPr>
                <w:rFonts w:ascii="맑은 고딕"/>
                <w:color w:val="000000"/>
                <w:sz w:val="20"/>
              </w:rPr>
              <w:t>(A)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w:t>
            </w:r>
          </w:p>
        </w:tc>
      </w:tr>
      <w:tr w:rsidR="00474AFF" w14:paraId="2427614E" w14:textId="77777777">
        <w:trPr>
          <w:trHeight w:val="150"/>
          <w:tblCellSpacing w:w="0" w:type="dxa"/>
        </w:trPr>
        <w:tc>
          <w:tcPr>
            <w:tcW w:w="0" w:type="auto"/>
          </w:tcPr>
          <w:p w14:paraId="44E87042" w14:textId="77777777" w:rsidR="00474AFF" w:rsidRDefault="00000000">
            <w:pPr>
              <w:spacing w:after="0" w:line="240" w:lineRule="auto"/>
              <w:jc w:val="both"/>
            </w:pPr>
            <w:r>
              <w:rPr>
                <w:rFonts w:ascii="맑은 고딕"/>
                <w:color w:val="000000"/>
                <w:sz w:val="20"/>
              </w:rPr>
              <w:t>(B) Such feelings activated in one context last for a while thereafter and have influence on judgment and behavior in later contexts without the person's awareness.</w:t>
            </w:r>
          </w:p>
        </w:tc>
      </w:tr>
      <w:tr w:rsidR="00474AFF" w14:paraId="68DCFF3B" w14:textId="77777777">
        <w:trPr>
          <w:trHeight w:val="150"/>
          <w:tblCellSpacing w:w="0" w:type="dxa"/>
        </w:trPr>
        <w:tc>
          <w:tcPr>
            <w:tcW w:w="0" w:type="auto"/>
          </w:tcPr>
          <w:p w14:paraId="15CCB233" w14:textId="77777777" w:rsidR="00474AFF" w:rsidRDefault="00000000">
            <w:pPr>
              <w:spacing w:after="0" w:line="240" w:lineRule="auto"/>
              <w:jc w:val="both"/>
            </w:pPr>
            <w:r>
              <w:rPr>
                <w:rFonts w:ascii="맑은 고딕"/>
                <w:color w:val="000000"/>
                <w:sz w:val="20"/>
              </w:rPr>
              <w:t>(C) Moreover, this temporarily increased activation of interpersonal warmth feelings then influences judgments toward other people in an unintentional manner.</w:t>
            </w:r>
          </w:p>
        </w:tc>
      </w:tr>
      <w:tr w:rsidR="00474AFF" w14:paraId="69678EB4" w14:textId="77777777">
        <w:trPr>
          <w:trHeight w:val="150"/>
          <w:tblCellSpacing w:w="0" w:type="dxa"/>
        </w:trPr>
        <w:tc>
          <w:tcPr>
            <w:tcW w:w="0" w:type="auto"/>
          </w:tcPr>
          <w:p w14:paraId="013856D3" w14:textId="77777777" w:rsidR="00474AFF" w:rsidRDefault="00000000">
            <w:pPr>
              <w:spacing w:after="0" w:line="240" w:lineRule="auto"/>
              <w:jc w:val="both"/>
            </w:pPr>
            <w:r>
              <w:rPr>
                <w:rFonts w:ascii="맑은 고딕"/>
                <w:color w:val="000000"/>
                <w:sz w:val="20"/>
              </w:rPr>
              <w:t>(D) Recent studies point to the importance of warm physical contact for healthy relationships with others.</w:t>
            </w:r>
          </w:p>
        </w:tc>
      </w:tr>
      <w:tr w:rsidR="00474AFF" w14:paraId="0BF24354" w14:textId="77777777">
        <w:trPr>
          <w:trHeight w:val="150"/>
          <w:tblCellSpacing w:w="0" w:type="dxa"/>
        </w:trPr>
        <w:tc>
          <w:tcPr>
            <w:tcW w:w="0" w:type="auto"/>
          </w:tcPr>
          <w:p w14:paraId="44DA761E" w14:textId="77777777" w:rsidR="00474AFF" w:rsidRDefault="00000000">
            <w:pPr>
              <w:spacing w:after="0" w:line="240" w:lineRule="auto"/>
              <w:jc w:val="both"/>
            </w:pPr>
            <w:r>
              <w:rPr>
                <w:rFonts w:ascii="맑은 고딕"/>
                <w:color w:val="000000"/>
                <w:sz w:val="20"/>
              </w:rPr>
              <w:t>(E) These findings illustrate that mere contact experiences of physical warmth activate feelings of interpersonal warmth.</w:t>
            </w:r>
          </w:p>
        </w:tc>
      </w:tr>
    </w:tbl>
    <w:p w14:paraId="4A4C1556" w14:textId="77777777" w:rsidR="009A0E71" w:rsidRDefault="009A0E71">
      <w:pPr>
        <w:rPr>
          <w:lang w:eastAsia="ko-KR"/>
        </w:rPr>
      </w:pPr>
    </w:p>
    <w:p w14:paraId="734A6B10" w14:textId="77777777" w:rsidR="009A0E71" w:rsidRDefault="009A0E71">
      <w:pPr>
        <w:rPr>
          <w:lang w:eastAsia="ko-KR"/>
        </w:rPr>
      </w:pPr>
    </w:p>
    <w:tbl>
      <w:tblPr>
        <w:tblW w:w="0" w:type="auto"/>
        <w:tblCellSpacing w:w="0" w:type="dxa"/>
        <w:tblLook w:val="04A0" w:firstRow="1" w:lastRow="0" w:firstColumn="1" w:lastColumn="0" w:noHBand="0" w:noVBand="1"/>
      </w:tblPr>
      <w:tblGrid>
        <w:gridCol w:w="9243"/>
      </w:tblGrid>
      <w:tr w:rsidR="009A0E71" w14:paraId="7F8C1694" w14:textId="77777777" w:rsidTr="0049164B">
        <w:trPr>
          <w:trHeight w:val="150"/>
          <w:tblCellSpacing w:w="0" w:type="dxa"/>
        </w:trPr>
        <w:tc>
          <w:tcPr>
            <w:tcW w:w="0" w:type="auto"/>
          </w:tcPr>
          <w:tbl>
            <w:tblPr>
              <w:tblW w:w="0" w:type="auto"/>
              <w:tblCellSpacing w:w="0" w:type="dxa"/>
              <w:tblLook w:val="04A0" w:firstRow="1" w:lastRow="0" w:firstColumn="1" w:lastColumn="0" w:noHBand="0" w:noVBand="1"/>
            </w:tblPr>
            <w:tblGrid>
              <w:gridCol w:w="9007"/>
            </w:tblGrid>
            <w:tr w:rsidR="009A0E71" w14:paraId="10225443" w14:textId="77777777" w:rsidTr="0049164B">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54FD2FDF" w14:textId="77777777" w:rsidR="009A0E71" w:rsidRDefault="009A0E71" w:rsidP="0049164B">
                  <w:pPr>
                    <w:spacing w:after="0" w:line="240" w:lineRule="auto"/>
                  </w:pPr>
                  <w:r>
                    <w:rPr>
                      <w:rFonts w:ascii="맑은 고딕"/>
                      <w:color w:val="000000"/>
                      <w:sz w:val="20"/>
                    </w:rPr>
                    <w:t>Recent studies point to the importance of warm physical contact for healthy relationships with others.</w:t>
                  </w:r>
                </w:p>
              </w:tc>
            </w:tr>
          </w:tbl>
          <w:p w14:paraId="10073515" w14:textId="77777777" w:rsidR="009A0E71" w:rsidRDefault="009A0E71" w:rsidP="0049164B"/>
        </w:tc>
      </w:tr>
      <w:tr w:rsidR="009A0E71" w14:paraId="2C528A4A" w14:textId="77777777" w:rsidTr="0049164B">
        <w:trPr>
          <w:trHeight w:val="150"/>
          <w:tblCellSpacing w:w="0" w:type="dxa"/>
        </w:trPr>
        <w:tc>
          <w:tcPr>
            <w:tcW w:w="0" w:type="auto"/>
          </w:tcPr>
          <w:p w14:paraId="3C4B358F" w14:textId="77777777" w:rsidR="009A0E71" w:rsidRDefault="009A0E71" w:rsidP="0049164B">
            <w:pPr>
              <w:spacing w:after="0" w:line="240" w:lineRule="auto"/>
              <w:jc w:val="both"/>
            </w:pPr>
            <w:r>
              <w:rPr>
                <w:rFonts w:ascii="맑은 고딕"/>
                <w:color w:val="000000"/>
                <w:sz w:val="20"/>
              </w:rPr>
              <w:t>(A) These findings illustrate that mere contact experiences of physical warmth activate feelings of interpersonal warmth.</w:t>
            </w:r>
          </w:p>
        </w:tc>
      </w:tr>
      <w:tr w:rsidR="009A0E71" w14:paraId="2FD55B4A" w14:textId="77777777" w:rsidTr="0049164B">
        <w:trPr>
          <w:trHeight w:val="150"/>
          <w:tblCellSpacing w:w="0" w:type="dxa"/>
        </w:trPr>
        <w:tc>
          <w:tcPr>
            <w:tcW w:w="0" w:type="auto"/>
          </w:tcPr>
          <w:p w14:paraId="758FFC77" w14:textId="77777777" w:rsidR="009A0E71" w:rsidRDefault="009A0E71" w:rsidP="0049164B">
            <w:pPr>
              <w:spacing w:after="0" w:line="240" w:lineRule="auto"/>
              <w:jc w:val="both"/>
            </w:pPr>
            <w:r>
              <w:rPr>
                <w:rFonts w:ascii="맑은 고딕"/>
                <w:color w:val="000000"/>
                <w:sz w:val="20"/>
              </w:rPr>
              <w:t>(B) In one study, participants who briefly held a cup of hot (versus iced) coffee judged a target person as having a "warmer" personality (generous, caring); in another study, participants holding a hot (versus cold) pack were more likely to choose a gift for a friend instead of something for themselves.</w:t>
            </w:r>
          </w:p>
        </w:tc>
      </w:tr>
      <w:tr w:rsidR="009A0E71" w14:paraId="7792F4DC" w14:textId="77777777" w:rsidTr="0049164B">
        <w:trPr>
          <w:trHeight w:val="150"/>
          <w:tblCellSpacing w:w="0" w:type="dxa"/>
        </w:trPr>
        <w:tc>
          <w:tcPr>
            <w:tcW w:w="0" w:type="auto"/>
          </w:tcPr>
          <w:p w14:paraId="271BFBAD" w14:textId="77777777" w:rsidR="009A0E71" w:rsidRDefault="009A0E71" w:rsidP="0049164B">
            <w:pPr>
              <w:spacing w:after="0" w:line="240" w:lineRule="auto"/>
              <w:jc w:val="both"/>
            </w:pPr>
            <w:r>
              <w:rPr>
                <w:rFonts w:ascii="맑은 고딕"/>
                <w:color w:val="000000"/>
                <w:sz w:val="20"/>
              </w:rPr>
              <w:t>(C) Moreover, this temporarily increased activation of interpersonal warmth feelings then influences judgments toward other people in an unintentional manner. Such feelings activated in one context last for a while thereafter and have influence on judgment and behavior in later contexts without the person's awareness.</w:t>
            </w:r>
          </w:p>
        </w:tc>
      </w:tr>
    </w:tbl>
    <w:p w14:paraId="5B34697D" w14:textId="63DB68A5" w:rsidR="009A0E71" w:rsidRDefault="009A0E71">
      <w:r>
        <w:br w:type="page"/>
      </w:r>
    </w:p>
    <w:tbl>
      <w:tblPr>
        <w:tblW w:w="0" w:type="auto"/>
        <w:tblCellSpacing w:w="0" w:type="dxa"/>
        <w:tblLook w:val="04A0" w:firstRow="1" w:lastRow="0" w:firstColumn="1" w:lastColumn="0" w:noHBand="0" w:noVBand="1"/>
      </w:tblPr>
      <w:tblGrid>
        <w:gridCol w:w="9243"/>
      </w:tblGrid>
      <w:tr w:rsidR="00474AFF" w14:paraId="6FA38DE6" w14:textId="77777777">
        <w:trPr>
          <w:trHeight w:val="150"/>
          <w:tblCellSpacing w:w="0" w:type="dxa"/>
        </w:trPr>
        <w:tc>
          <w:tcPr>
            <w:tcW w:w="0" w:type="auto"/>
            <w:vAlign w:val="center"/>
          </w:tcPr>
          <w:p w14:paraId="680DAC9A" w14:textId="0D24E366" w:rsidR="00474AFF" w:rsidRDefault="00474AFF"/>
        </w:tc>
      </w:tr>
      <w:tr w:rsidR="00474AFF" w14:paraId="1CC65FFE" w14:textId="77777777">
        <w:trPr>
          <w:trHeight w:val="375"/>
          <w:tblCellSpacing w:w="0" w:type="dxa"/>
        </w:trPr>
        <w:tc>
          <w:tcPr>
            <w:tcW w:w="0" w:type="auto"/>
            <w:vAlign w:val="center"/>
          </w:tcPr>
          <w:p w14:paraId="7087975B" w14:textId="1F68D086" w:rsidR="00474AFF" w:rsidRPr="00A85933" w:rsidRDefault="00A85933">
            <w:pPr>
              <w:spacing w:after="0"/>
              <w:rPr>
                <w:rFonts w:eastAsia="맑은 고딕" w:hAnsi="맑은 고딕" w:cs="맑은 고딕" w:hint="eastAsia"/>
                <w:lang w:eastAsia="ko-KR"/>
              </w:rPr>
            </w:pPr>
            <w:r>
              <w:rPr>
                <w:rFonts w:ascii="맑은 고딕" w:hint="eastAsia"/>
                <w:color w:val="000000"/>
                <w:sz w:val="16"/>
                <w:lang w:eastAsia="ko-KR"/>
              </w:rPr>
              <w:t>15</w:t>
            </w:r>
            <w:r>
              <w:rPr>
                <w:rFonts w:ascii="맑은 고딕" w:eastAsia="맑은 고딕" w:hAnsi="맑은 고딕" w:cs="맑은 고딕" w:hint="eastAsia"/>
                <w:color w:val="000000"/>
                <w:sz w:val="16"/>
                <w:lang w:eastAsia="ko-KR"/>
              </w:rPr>
              <w:t>강 16번 210940</w:t>
            </w:r>
          </w:p>
        </w:tc>
      </w:tr>
      <w:tr w:rsidR="00474AFF" w14:paraId="74C5EA85" w14:textId="77777777">
        <w:trPr>
          <w:trHeight w:val="150"/>
          <w:tblCellSpacing w:w="0" w:type="dxa"/>
        </w:trPr>
        <w:tc>
          <w:tcPr>
            <w:tcW w:w="0" w:type="auto"/>
          </w:tcPr>
          <w:p w14:paraId="015D5657" w14:textId="77777777" w:rsidR="00474AFF" w:rsidRDefault="00000000">
            <w:pPr>
              <w:spacing w:after="0" w:line="240" w:lineRule="auto"/>
              <w:jc w:val="both"/>
            </w:pPr>
            <w:r>
              <w:rPr>
                <w:rFonts w:ascii="맑은 고딕"/>
                <w:color w:val="000000"/>
                <w:sz w:val="20"/>
              </w:rPr>
              <w:t xml:space="preserve">(A) The thirst to fill a knowledge gap </w:t>
            </w:r>
            <w:r>
              <w:rPr>
                <w:rFonts w:ascii="맑은 고딕"/>
                <w:color w:val="000000"/>
                <w:sz w:val="20"/>
              </w:rPr>
              <w:t>―</w:t>
            </w:r>
            <w:r>
              <w:rPr>
                <w:rFonts w:ascii="맑은 고딕"/>
                <w:color w:val="000000"/>
                <w:sz w:val="20"/>
              </w:rPr>
              <w:t xml:space="preserve"> to find out who was right within the group </w:t>
            </w:r>
            <w:r>
              <w:rPr>
                <w:rFonts w:ascii="맑은 고딕"/>
                <w:color w:val="000000"/>
                <w:sz w:val="20"/>
              </w:rPr>
              <w:t>―</w:t>
            </w:r>
            <w:r>
              <w:rPr>
                <w:rFonts w:ascii="맑은 고딕"/>
                <w:color w:val="000000"/>
                <w:sz w:val="20"/>
              </w:rPr>
              <w:t xml:space="preserve"> can be more powerful than the thirst for slides and jungle gyms.</w:t>
            </w:r>
          </w:p>
        </w:tc>
      </w:tr>
      <w:tr w:rsidR="00474AFF" w14:paraId="3A86D2FE" w14:textId="77777777">
        <w:trPr>
          <w:trHeight w:val="150"/>
          <w:tblCellSpacing w:w="0" w:type="dxa"/>
        </w:trPr>
        <w:tc>
          <w:tcPr>
            <w:tcW w:w="0" w:type="auto"/>
          </w:tcPr>
          <w:p w14:paraId="67C2E2E1" w14:textId="77777777" w:rsidR="00474AFF" w:rsidRDefault="00000000">
            <w:pPr>
              <w:spacing w:after="0" w:line="240" w:lineRule="auto"/>
              <w:jc w:val="both"/>
            </w:pPr>
            <w:r>
              <w:rPr>
                <w:rFonts w:ascii="맑은 고딕"/>
                <w:color w:val="000000"/>
                <w:sz w:val="20"/>
              </w:rPr>
              <w:t xml:space="preserve">(B) The most noticeable difference, though, was revealed when teachers showed a special film about the discussion topic </w:t>
            </w:r>
            <w:r>
              <w:rPr>
                <w:rFonts w:ascii="맑은 고딕"/>
                <w:color w:val="000000"/>
                <w:sz w:val="20"/>
              </w:rPr>
              <w:t>―</w:t>
            </w:r>
            <w:r>
              <w:rPr>
                <w:rFonts w:ascii="맑은 고딕"/>
                <w:color w:val="000000"/>
                <w:sz w:val="20"/>
              </w:rPr>
              <w:t xml:space="preserve"> during lunch time!</w:t>
            </w:r>
          </w:p>
        </w:tc>
      </w:tr>
      <w:tr w:rsidR="00474AFF" w14:paraId="32571A91" w14:textId="77777777">
        <w:trPr>
          <w:trHeight w:val="150"/>
          <w:tblCellSpacing w:w="0" w:type="dxa"/>
        </w:trPr>
        <w:tc>
          <w:tcPr>
            <w:tcW w:w="0" w:type="auto"/>
          </w:tcPr>
          <w:p w14:paraId="61591A69" w14:textId="77777777" w:rsidR="00474AFF" w:rsidRDefault="00000000">
            <w:pPr>
              <w:spacing w:after="0" w:line="240" w:lineRule="auto"/>
              <w:jc w:val="both"/>
            </w:pPr>
            <w:r>
              <w:rPr>
                <w:rFonts w:ascii="맑은 고딕"/>
                <w:color w:val="000000"/>
                <w:sz w:val="20"/>
              </w:rPr>
              <w:t>(C) With one group, the discussion was led in a way that built an agreement.</w:t>
            </w:r>
          </w:p>
        </w:tc>
      </w:tr>
      <w:tr w:rsidR="00474AFF" w14:paraId="5249729E" w14:textId="77777777">
        <w:trPr>
          <w:trHeight w:val="150"/>
          <w:tblCellSpacing w:w="0" w:type="dxa"/>
        </w:trPr>
        <w:tc>
          <w:tcPr>
            <w:tcW w:w="0" w:type="auto"/>
          </w:tcPr>
          <w:p w14:paraId="52A30025" w14:textId="77777777" w:rsidR="00474AFF" w:rsidRDefault="00000000">
            <w:pPr>
              <w:spacing w:after="0" w:line="240" w:lineRule="auto"/>
              <w:jc w:val="both"/>
            </w:pPr>
            <w:r>
              <w:rPr>
                <w:rFonts w:ascii="맑은 고딕"/>
                <w:color w:val="000000"/>
                <w:sz w:val="20"/>
              </w:rPr>
              <w:t>(D) Only 18 percent of the agreement group missed lunch time to see the film, but 45 percent of the students from the disagreement group stayed for the film.</w:t>
            </w:r>
          </w:p>
        </w:tc>
      </w:tr>
      <w:tr w:rsidR="00474AFF" w14:paraId="46E8DAF1" w14:textId="77777777">
        <w:trPr>
          <w:trHeight w:val="150"/>
          <w:tblCellSpacing w:w="0" w:type="dxa"/>
        </w:trPr>
        <w:tc>
          <w:tcPr>
            <w:tcW w:w="0" w:type="auto"/>
          </w:tcPr>
          <w:p w14:paraId="66BEF5CE" w14:textId="77777777" w:rsidR="00474AFF" w:rsidRDefault="00000000">
            <w:pPr>
              <w:spacing w:after="0" w:line="240" w:lineRule="auto"/>
              <w:jc w:val="both"/>
            </w:pPr>
            <w:r>
              <w:rPr>
                <w:rFonts w:ascii="맑은 고딕"/>
                <w:color w:val="000000"/>
                <w:sz w:val="20"/>
              </w:rPr>
              <w:t>(E) Students who easily reached an agreement were less interested in the topic, studied less, and were less likely to visit the library to get additional information.</w:t>
            </w:r>
          </w:p>
        </w:tc>
      </w:tr>
      <w:tr w:rsidR="00474AFF" w14:paraId="7ED5B628" w14:textId="77777777">
        <w:trPr>
          <w:trHeight w:val="150"/>
          <w:tblCellSpacing w:w="0" w:type="dxa"/>
        </w:trPr>
        <w:tc>
          <w:tcPr>
            <w:tcW w:w="0" w:type="auto"/>
          </w:tcPr>
          <w:p w14:paraId="6E243A19" w14:textId="77777777" w:rsidR="00474AFF" w:rsidRDefault="00000000">
            <w:pPr>
              <w:spacing w:after="0" w:line="240" w:lineRule="auto"/>
              <w:jc w:val="both"/>
            </w:pPr>
            <w:r>
              <w:rPr>
                <w:rFonts w:ascii="맑은 고딕"/>
                <w:color w:val="000000"/>
                <w:sz w:val="20"/>
              </w:rPr>
              <w:t>(F) With the second group, the discussion was designed to produce disagreements about the right answer.</w:t>
            </w:r>
          </w:p>
        </w:tc>
      </w:tr>
      <w:tr w:rsidR="00474AFF" w14:paraId="6A20E7B7" w14:textId="77777777">
        <w:trPr>
          <w:trHeight w:val="150"/>
          <w:tblCellSpacing w:w="0" w:type="dxa"/>
        </w:trPr>
        <w:tc>
          <w:tcPr>
            <w:tcW w:w="0" w:type="auto"/>
          </w:tcPr>
          <w:p w14:paraId="67BA1E15" w14:textId="77777777" w:rsidR="00474AFF" w:rsidRDefault="00000000">
            <w:pPr>
              <w:spacing w:after="0" w:line="240" w:lineRule="auto"/>
              <w:jc w:val="both"/>
            </w:pPr>
            <w:r>
              <w:rPr>
                <w:rFonts w:ascii="맑은 고딕"/>
                <w:color w:val="000000"/>
                <w:sz w:val="20"/>
              </w:rPr>
              <w:t>(G) Nancy Lowry and David Johnson conducted an experiment to study a teaching environment where fifth and sixth graders were assigned to interact on a topic.</w:t>
            </w:r>
          </w:p>
        </w:tc>
      </w:tr>
    </w:tbl>
    <w:p w14:paraId="1539BF77" w14:textId="77777777" w:rsidR="00B41F65" w:rsidRDefault="00B41F65">
      <w:pPr>
        <w:rPr>
          <w:lang w:eastAsia="ko-KR"/>
        </w:rPr>
      </w:pPr>
    </w:p>
    <w:p w14:paraId="49B27CF8" w14:textId="77777777" w:rsidR="00B41F65" w:rsidRDefault="00B41F65">
      <w:pPr>
        <w:rPr>
          <w:lang w:eastAsia="ko-KR"/>
        </w:rPr>
      </w:pPr>
    </w:p>
    <w:tbl>
      <w:tblPr>
        <w:tblW w:w="0" w:type="auto"/>
        <w:tblCellSpacing w:w="0" w:type="dxa"/>
        <w:tblLook w:val="04A0" w:firstRow="1" w:lastRow="0" w:firstColumn="1" w:lastColumn="0" w:noHBand="0" w:noVBand="1"/>
      </w:tblPr>
      <w:tblGrid>
        <w:gridCol w:w="9243"/>
      </w:tblGrid>
      <w:tr w:rsidR="00B41F65" w14:paraId="5FA9D8B6" w14:textId="77777777" w:rsidTr="0049164B">
        <w:trPr>
          <w:trHeight w:val="150"/>
          <w:tblCellSpacing w:w="0" w:type="dxa"/>
        </w:trPr>
        <w:tc>
          <w:tcPr>
            <w:tcW w:w="0" w:type="auto"/>
          </w:tcPr>
          <w:tbl>
            <w:tblPr>
              <w:tblW w:w="0" w:type="auto"/>
              <w:tblCellSpacing w:w="0" w:type="dxa"/>
              <w:tblLook w:val="04A0" w:firstRow="1" w:lastRow="0" w:firstColumn="1" w:lastColumn="0" w:noHBand="0" w:noVBand="1"/>
            </w:tblPr>
            <w:tblGrid>
              <w:gridCol w:w="9007"/>
            </w:tblGrid>
            <w:tr w:rsidR="00B41F65" w14:paraId="0F1FBDA6" w14:textId="77777777" w:rsidTr="0049164B">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542AF5AD" w14:textId="77777777" w:rsidR="00B41F65" w:rsidRDefault="00B41F65" w:rsidP="0049164B">
                  <w:pPr>
                    <w:spacing w:after="0" w:line="240" w:lineRule="auto"/>
                  </w:pPr>
                  <w:r>
                    <w:rPr>
                      <w:rFonts w:ascii="맑은 고딕"/>
                      <w:color w:val="000000"/>
                      <w:sz w:val="20"/>
                    </w:rPr>
                    <w:t>Students who easily reached an agreement were less interested in the topic, studied less, and were less likely to visit the library to get additional information.</w:t>
                  </w:r>
                </w:p>
              </w:tc>
            </w:tr>
          </w:tbl>
          <w:p w14:paraId="4FBB4DF0" w14:textId="77777777" w:rsidR="00B41F65" w:rsidRDefault="00B41F65" w:rsidP="0049164B"/>
        </w:tc>
      </w:tr>
      <w:tr w:rsidR="00B41F65" w14:paraId="186D69F1" w14:textId="77777777" w:rsidTr="0049164B">
        <w:trPr>
          <w:trHeight w:val="75"/>
          <w:tblCellSpacing w:w="0" w:type="dxa"/>
        </w:trPr>
        <w:tc>
          <w:tcPr>
            <w:tcW w:w="0" w:type="auto"/>
          </w:tcPr>
          <w:p w14:paraId="11EBA6DF" w14:textId="77777777" w:rsidR="00B41F65" w:rsidRDefault="00B41F65" w:rsidP="0049164B">
            <w:pPr>
              <w:spacing w:after="0" w:line="240" w:lineRule="auto"/>
              <w:jc w:val="both"/>
            </w:pPr>
            <w:r>
              <w:rPr>
                <w:rFonts w:ascii="맑은 고딕"/>
                <w:color w:val="000000"/>
                <w:sz w:val="20"/>
              </w:rPr>
              <w:t>Nancy Lowry and David Johnson conducted an experiment to study a teaching environment where fifth and sixth graders were assigned to interact on a topic. (</w:t>
            </w:r>
            <w:r>
              <w:rPr>
                <w:rFonts w:ascii="맑은 고딕"/>
                <w:color w:val="000000"/>
                <w:sz w:val="20"/>
              </w:rPr>
              <w:t>①</w:t>
            </w:r>
            <w:r>
              <w:rPr>
                <w:rFonts w:ascii="맑은 고딕"/>
                <w:color w:val="000000"/>
                <w:sz w:val="20"/>
              </w:rPr>
              <w:t>) With one group, the discussion was led in a way that built an agreement. (</w:t>
            </w:r>
            <w:r>
              <w:rPr>
                <w:rFonts w:ascii="맑은 고딕"/>
                <w:color w:val="000000"/>
                <w:sz w:val="20"/>
              </w:rPr>
              <w:t>②</w:t>
            </w:r>
            <w:r>
              <w:rPr>
                <w:rFonts w:ascii="맑은 고딕"/>
                <w:color w:val="000000"/>
                <w:sz w:val="20"/>
              </w:rPr>
              <w:t>) With the second group, the discussion was designed to produce disagreements about the right answer. (</w:t>
            </w:r>
            <w:r>
              <w:rPr>
                <w:rFonts w:ascii="맑은 고딕"/>
                <w:color w:val="000000"/>
                <w:sz w:val="20"/>
              </w:rPr>
              <w:t>③</w:t>
            </w:r>
            <w:r>
              <w:rPr>
                <w:rFonts w:ascii="맑은 고딕"/>
                <w:color w:val="000000"/>
                <w:sz w:val="20"/>
              </w:rPr>
              <w:t xml:space="preserve">) The most noticeable difference, though, was revealed when teachers showed a special film about the discussion topic </w:t>
            </w:r>
            <w:r>
              <w:rPr>
                <w:rFonts w:ascii="맑은 고딕"/>
                <w:color w:val="000000"/>
                <w:sz w:val="20"/>
              </w:rPr>
              <w:t>―</w:t>
            </w:r>
            <w:r>
              <w:rPr>
                <w:rFonts w:ascii="맑은 고딕"/>
                <w:color w:val="000000"/>
                <w:sz w:val="20"/>
              </w:rPr>
              <w:t xml:space="preserve"> during lunch time! (</w:t>
            </w:r>
            <w:r>
              <w:rPr>
                <w:rFonts w:ascii="맑은 고딕"/>
                <w:color w:val="000000"/>
                <w:sz w:val="20"/>
              </w:rPr>
              <w:t>④</w:t>
            </w:r>
            <w:r>
              <w:rPr>
                <w:rFonts w:ascii="맑은 고딕"/>
                <w:color w:val="000000"/>
                <w:sz w:val="20"/>
              </w:rPr>
              <w:t>) Only 18 percent of the agreement group missed lunch time to see the film, but 45 percent of the students from the disagreement group stayed for the film. (</w:t>
            </w:r>
            <w:r>
              <w:rPr>
                <w:rFonts w:ascii="맑은 고딕"/>
                <w:color w:val="000000"/>
                <w:sz w:val="20"/>
              </w:rPr>
              <w:t>⑤</w:t>
            </w:r>
            <w:r>
              <w:rPr>
                <w:rFonts w:ascii="맑은 고딕"/>
                <w:color w:val="000000"/>
                <w:sz w:val="20"/>
              </w:rPr>
              <w:t xml:space="preserve">) The thirst to fill a knowledge gap </w:t>
            </w:r>
            <w:r>
              <w:rPr>
                <w:rFonts w:ascii="맑은 고딕"/>
                <w:color w:val="000000"/>
                <w:sz w:val="20"/>
              </w:rPr>
              <w:t>―</w:t>
            </w:r>
            <w:r>
              <w:rPr>
                <w:rFonts w:ascii="맑은 고딕"/>
                <w:color w:val="000000"/>
                <w:sz w:val="20"/>
              </w:rPr>
              <w:t xml:space="preserve"> to find out who was right within the group </w:t>
            </w:r>
            <w:r>
              <w:rPr>
                <w:rFonts w:ascii="맑은 고딕"/>
                <w:color w:val="000000"/>
                <w:sz w:val="20"/>
              </w:rPr>
              <w:t>―</w:t>
            </w:r>
            <w:r>
              <w:rPr>
                <w:rFonts w:ascii="맑은 고딕"/>
                <w:color w:val="000000"/>
                <w:sz w:val="20"/>
              </w:rPr>
              <w:t xml:space="preserve"> can be more powerful than the thirst for slides and jungle gyms.</w:t>
            </w:r>
          </w:p>
        </w:tc>
      </w:tr>
    </w:tbl>
    <w:p w14:paraId="4CEB3D4E" w14:textId="6372E470" w:rsidR="009A0E71" w:rsidRDefault="009A0E71">
      <w:pPr>
        <w:rPr>
          <w:rFonts w:hint="eastAsia"/>
          <w:lang w:eastAsia="ko-KR"/>
        </w:rPr>
      </w:pPr>
      <w:r>
        <w:br w:type="page"/>
      </w:r>
    </w:p>
    <w:tbl>
      <w:tblPr>
        <w:tblW w:w="0" w:type="auto"/>
        <w:tblCellSpacing w:w="0" w:type="dxa"/>
        <w:tblLook w:val="04A0" w:firstRow="1" w:lastRow="0" w:firstColumn="1" w:lastColumn="0" w:noHBand="0" w:noVBand="1"/>
      </w:tblPr>
      <w:tblGrid>
        <w:gridCol w:w="9243"/>
      </w:tblGrid>
      <w:tr w:rsidR="00474AFF" w14:paraId="6BDAB8CF" w14:textId="77777777">
        <w:trPr>
          <w:trHeight w:val="150"/>
          <w:tblCellSpacing w:w="0" w:type="dxa"/>
        </w:trPr>
        <w:tc>
          <w:tcPr>
            <w:tcW w:w="0" w:type="auto"/>
            <w:vAlign w:val="center"/>
          </w:tcPr>
          <w:p w14:paraId="0B663A64" w14:textId="04BFCB69" w:rsidR="00474AFF" w:rsidRDefault="00474AFF"/>
        </w:tc>
      </w:tr>
      <w:tr w:rsidR="00474AFF" w14:paraId="735C2ABC" w14:textId="77777777">
        <w:trPr>
          <w:trHeight w:val="375"/>
          <w:tblCellSpacing w:w="0" w:type="dxa"/>
        </w:trPr>
        <w:tc>
          <w:tcPr>
            <w:tcW w:w="0" w:type="auto"/>
            <w:vAlign w:val="center"/>
          </w:tcPr>
          <w:p w14:paraId="40F0DD07" w14:textId="300DD64E" w:rsidR="00474AFF" w:rsidRPr="00A85933" w:rsidRDefault="00A85933">
            <w:pPr>
              <w:spacing w:after="0"/>
              <w:rPr>
                <w:rFonts w:eastAsia="맑은 고딕" w:hAnsi="맑은 고딕" w:cs="맑은 고딕" w:hint="eastAsia"/>
                <w:lang w:eastAsia="ko-KR"/>
              </w:rPr>
            </w:pPr>
            <w:r>
              <w:rPr>
                <w:rFonts w:ascii="맑은 고딕" w:hint="eastAsia"/>
                <w:color w:val="000000"/>
                <w:sz w:val="16"/>
                <w:lang w:eastAsia="ko-KR"/>
              </w:rPr>
              <w:t>15</w:t>
            </w:r>
            <w:r>
              <w:rPr>
                <w:rFonts w:ascii="맑은 고딕" w:eastAsia="맑은 고딕" w:hAnsi="맑은 고딕" w:cs="맑은 고딕" w:hint="eastAsia"/>
                <w:color w:val="000000"/>
                <w:sz w:val="16"/>
                <w:lang w:eastAsia="ko-KR"/>
              </w:rPr>
              <w:t>강 17번 181140</w:t>
            </w:r>
          </w:p>
        </w:tc>
      </w:tr>
      <w:tr w:rsidR="00474AFF" w14:paraId="0741759A" w14:textId="77777777">
        <w:trPr>
          <w:trHeight w:val="150"/>
          <w:tblCellSpacing w:w="0" w:type="dxa"/>
        </w:trPr>
        <w:tc>
          <w:tcPr>
            <w:tcW w:w="0" w:type="auto"/>
          </w:tcPr>
          <w:p w14:paraId="31E05C4B" w14:textId="77777777" w:rsidR="00474AFF" w:rsidRDefault="00000000">
            <w:pPr>
              <w:spacing w:after="0" w:line="240" w:lineRule="auto"/>
              <w:jc w:val="both"/>
            </w:pPr>
            <w:r>
              <w:rPr>
                <w:rFonts w:ascii="맑은 고딕"/>
                <w:color w:val="000000"/>
                <w:sz w:val="20"/>
              </w:rPr>
              <w:t xml:space="preserve">(A) The sport marketer therefore must avoid marketing strategies based solely on </w:t>
            </w:r>
            <w:proofErr w:type="gramStart"/>
            <w:r>
              <w:rPr>
                <w:rFonts w:ascii="맑은 고딕"/>
                <w:color w:val="000000"/>
                <w:sz w:val="20"/>
              </w:rPr>
              <w:t>winning, and</w:t>
            </w:r>
            <w:proofErr w:type="gramEnd"/>
            <w:r>
              <w:rPr>
                <w:rFonts w:ascii="맑은 고딕"/>
                <w:color w:val="000000"/>
                <w:sz w:val="20"/>
              </w:rPr>
              <w:t xml:space="preserve"> must instead focus on developing product extensions such as the facility, parking, merchandise, souvenirs, food and beverages rather than on the core product (that is, the game itself).</w:t>
            </w:r>
          </w:p>
        </w:tc>
      </w:tr>
      <w:tr w:rsidR="00474AFF" w14:paraId="17F342D5" w14:textId="77777777">
        <w:trPr>
          <w:trHeight w:val="150"/>
          <w:tblCellSpacing w:w="0" w:type="dxa"/>
        </w:trPr>
        <w:tc>
          <w:tcPr>
            <w:tcW w:w="0" w:type="auto"/>
          </w:tcPr>
          <w:p w14:paraId="75494BF1" w14:textId="77777777" w:rsidR="00474AFF" w:rsidRDefault="00000000">
            <w:pPr>
              <w:spacing w:after="0" w:line="240" w:lineRule="auto"/>
              <w:jc w:val="both"/>
            </w:pPr>
            <w:r>
              <w:rPr>
                <w:rFonts w:ascii="맑은 고딕"/>
                <w:color w:val="000000"/>
                <w:sz w:val="20"/>
              </w:rPr>
              <w:t>(B) Unlike consumer products, sport cannot and does not display consistency as a key feature of marketing strategies.</w:t>
            </w:r>
          </w:p>
        </w:tc>
      </w:tr>
      <w:tr w:rsidR="00474AFF" w14:paraId="3D399F1C" w14:textId="77777777">
        <w:trPr>
          <w:trHeight w:val="150"/>
          <w:tblCellSpacing w:w="0" w:type="dxa"/>
        </w:trPr>
        <w:tc>
          <w:tcPr>
            <w:tcW w:w="0" w:type="auto"/>
          </w:tcPr>
          <w:p w14:paraId="6A57969B" w14:textId="77777777" w:rsidR="00474AFF" w:rsidRDefault="00000000">
            <w:pPr>
              <w:spacing w:after="0" w:line="240" w:lineRule="auto"/>
              <w:jc w:val="both"/>
            </w:pPr>
            <w:r>
              <w:rPr>
                <w:rFonts w:ascii="맑은 고딕"/>
                <w:color w:val="000000"/>
                <w:sz w:val="20"/>
              </w:rPr>
              <w:t>(C) We cannot predict the outcomes of sporting contests, which vary from week to week.</w:t>
            </w:r>
          </w:p>
        </w:tc>
      </w:tr>
      <w:tr w:rsidR="00474AFF" w14:paraId="36DDE9CC" w14:textId="77777777">
        <w:trPr>
          <w:trHeight w:val="150"/>
          <w:tblCellSpacing w:w="0" w:type="dxa"/>
        </w:trPr>
        <w:tc>
          <w:tcPr>
            <w:tcW w:w="0" w:type="auto"/>
          </w:tcPr>
          <w:p w14:paraId="6699D71A" w14:textId="77777777" w:rsidR="00474AFF" w:rsidRDefault="00000000">
            <w:pPr>
              <w:spacing w:after="0" w:line="240" w:lineRule="auto"/>
              <w:jc w:val="both"/>
            </w:pPr>
            <w:r>
              <w:rPr>
                <w:rFonts w:ascii="맑은 고딕"/>
                <w:color w:val="000000"/>
                <w:sz w:val="20"/>
              </w:rPr>
              <w:t xml:space="preserve">(D) For the sport marketer, this is problematic, as the quality of the contest cannot be guaranteed, no promises can be made in relations to the </w:t>
            </w:r>
            <w:proofErr w:type="gramStart"/>
            <w:r>
              <w:rPr>
                <w:rFonts w:ascii="맑은 고딕"/>
                <w:color w:val="000000"/>
                <w:sz w:val="20"/>
              </w:rPr>
              <w:t>result</w:t>
            </w:r>
            <w:proofErr w:type="gramEnd"/>
            <w:r>
              <w:rPr>
                <w:rFonts w:ascii="맑은 고딕"/>
                <w:color w:val="000000"/>
                <w:sz w:val="20"/>
              </w:rPr>
              <w:t xml:space="preserve"> and no assurances can be given in respect of the performance of star players.</w:t>
            </w:r>
          </w:p>
        </w:tc>
      </w:tr>
      <w:tr w:rsidR="00474AFF" w14:paraId="2893748F" w14:textId="77777777">
        <w:trPr>
          <w:trHeight w:val="150"/>
          <w:tblCellSpacing w:w="0" w:type="dxa"/>
        </w:trPr>
        <w:tc>
          <w:tcPr>
            <w:tcW w:w="0" w:type="auto"/>
          </w:tcPr>
          <w:p w14:paraId="7A5EF96B" w14:textId="77777777" w:rsidR="00474AFF" w:rsidRDefault="00000000">
            <w:pPr>
              <w:spacing w:after="0" w:line="240" w:lineRule="auto"/>
              <w:jc w:val="both"/>
            </w:pPr>
            <w:r>
              <w:rPr>
                <w:rFonts w:ascii="맑은 고딕"/>
                <w:color w:val="000000"/>
                <w:sz w:val="20"/>
              </w:rPr>
              <w:t>(E) It is the uncertainty of the result and the quality of the contest that consumers find attractive.</w:t>
            </w:r>
          </w:p>
        </w:tc>
      </w:tr>
      <w:tr w:rsidR="00474AFF" w14:paraId="4FF508AD" w14:textId="77777777">
        <w:trPr>
          <w:trHeight w:val="150"/>
          <w:tblCellSpacing w:w="0" w:type="dxa"/>
        </w:trPr>
        <w:tc>
          <w:tcPr>
            <w:tcW w:w="0" w:type="auto"/>
          </w:tcPr>
          <w:p w14:paraId="3BEB6100" w14:textId="77777777" w:rsidR="00474AFF" w:rsidRDefault="00000000">
            <w:pPr>
              <w:spacing w:after="0" w:line="240" w:lineRule="auto"/>
              <w:jc w:val="both"/>
            </w:pPr>
            <w:r>
              <w:rPr>
                <w:rFonts w:ascii="맑은 고딕"/>
                <w:color w:val="000000"/>
                <w:sz w:val="20"/>
              </w:rPr>
              <w:t>(F) This heterogeneity is a feature of sport.</w:t>
            </w:r>
          </w:p>
        </w:tc>
      </w:tr>
    </w:tbl>
    <w:p w14:paraId="065AC039" w14:textId="77777777" w:rsidR="00000000" w:rsidRDefault="00000000">
      <w:pPr>
        <w:rPr>
          <w:lang w:eastAsia="ko-KR"/>
        </w:rPr>
      </w:pPr>
    </w:p>
    <w:p w14:paraId="352184A7" w14:textId="77777777" w:rsidR="009A0E71" w:rsidRDefault="009A0E71">
      <w:pPr>
        <w:rPr>
          <w:lang w:eastAsia="ko-KR"/>
        </w:rPr>
      </w:pPr>
    </w:p>
    <w:tbl>
      <w:tblPr>
        <w:tblW w:w="0" w:type="auto"/>
        <w:tblCellSpacing w:w="0" w:type="dxa"/>
        <w:tblLook w:val="04A0" w:firstRow="1" w:lastRow="0" w:firstColumn="1" w:lastColumn="0" w:noHBand="0" w:noVBand="1"/>
      </w:tblPr>
      <w:tblGrid>
        <w:gridCol w:w="9243"/>
      </w:tblGrid>
      <w:tr w:rsidR="009A0E71" w14:paraId="2E8D6025" w14:textId="77777777" w:rsidTr="0049164B">
        <w:trPr>
          <w:trHeight w:val="150"/>
          <w:tblCellSpacing w:w="0" w:type="dxa"/>
        </w:trPr>
        <w:tc>
          <w:tcPr>
            <w:tcW w:w="0" w:type="auto"/>
          </w:tcPr>
          <w:tbl>
            <w:tblPr>
              <w:tblW w:w="0" w:type="auto"/>
              <w:tblCellSpacing w:w="0" w:type="dxa"/>
              <w:tblLook w:val="04A0" w:firstRow="1" w:lastRow="0" w:firstColumn="1" w:lastColumn="0" w:noHBand="0" w:noVBand="1"/>
            </w:tblPr>
            <w:tblGrid>
              <w:gridCol w:w="9007"/>
            </w:tblGrid>
            <w:tr w:rsidR="009A0E71" w14:paraId="55F78127" w14:textId="77777777" w:rsidTr="0049164B">
              <w:trPr>
                <w:trHeight w:val="180"/>
                <w:tblCellSpacing w:w="0" w:type="dxa"/>
              </w:trPr>
              <w:tc>
                <w:tcPr>
                  <w:tcW w:w="14000" w:type="dxa"/>
                  <w:tcBorders>
                    <w:top w:val="single" w:sz="8" w:space="0" w:color="BFBFBF"/>
                    <w:left w:val="single" w:sz="8" w:space="0" w:color="BFBFBF"/>
                    <w:bottom w:val="single" w:sz="8" w:space="0" w:color="BFBFBF"/>
                    <w:right w:val="single" w:sz="8" w:space="0" w:color="BFBFBF"/>
                  </w:tcBorders>
                  <w:vAlign w:val="center"/>
                </w:tcPr>
                <w:p w14:paraId="42807AE5" w14:textId="77777777" w:rsidR="009A0E71" w:rsidRDefault="009A0E71" w:rsidP="0049164B">
                  <w:pPr>
                    <w:spacing w:after="0" w:line="240" w:lineRule="auto"/>
                  </w:pPr>
                  <w:r>
                    <w:rPr>
                      <w:rFonts w:ascii="맑은 고딕"/>
                      <w:color w:val="000000"/>
                      <w:sz w:val="20"/>
                    </w:rPr>
                    <w:t>We cannot predict the outcomes of sporting contests, which vary from week to week.</w:t>
                  </w:r>
                </w:p>
              </w:tc>
            </w:tr>
          </w:tbl>
          <w:p w14:paraId="13228678" w14:textId="77777777" w:rsidR="009A0E71" w:rsidRDefault="009A0E71" w:rsidP="0049164B"/>
        </w:tc>
      </w:tr>
      <w:tr w:rsidR="009A0E71" w14:paraId="343DDF86" w14:textId="77777777" w:rsidTr="0049164B">
        <w:trPr>
          <w:trHeight w:val="150"/>
          <w:tblCellSpacing w:w="0" w:type="dxa"/>
        </w:trPr>
        <w:tc>
          <w:tcPr>
            <w:tcW w:w="0" w:type="auto"/>
          </w:tcPr>
          <w:p w14:paraId="00AE27EA" w14:textId="77777777" w:rsidR="009A0E71" w:rsidRDefault="009A0E71" w:rsidP="0049164B">
            <w:pPr>
              <w:spacing w:after="0" w:line="240" w:lineRule="auto"/>
              <w:jc w:val="both"/>
            </w:pPr>
            <w:r>
              <w:rPr>
                <w:rFonts w:ascii="맑은 고딕"/>
                <w:color w:val="000000"/>
                <w:sz w:val="20"/>
              </w:rPr>
              <w:t xml:space="preserve">(A) It is the uncertainty of the result and the quality of the contest that consumers find attractive. For the sport marketer, this is problematic, as the quality of the contest cannot be guaranteed, no promises can be made in relations to the </w:t>
            </w:r>
            <w:proofErr w:type="gramStart"/>
            <w:r>
              <w:rPr>
                <w:rFonts w:ascii="맑은 고딕"/>
                <w:color w:val="000000"/>
                <w:sz w:val="20"/>
              </w:rPr>
              <w:t>result</w:t>
            </w:r>
            <w:proofErr w:type="gramEnd"/>
            <w:r>
              <w:rPr>
                <w:rFonts w:ascii="맑은 고딕"/>
                <w:color w:val="000000"/>
                <w:sz w:val="20"/>
              </w:rPr>
              <w:t xml:space="preserve"> and no assurances can be given in respect of the performance of star players.</w:t>
            </w:r>
          </w:p>
        </w:tc>
      </w:tr>
      <w:tr w:rsidR="009A0E71" w14:paraId="6D321205" w14:textId="77777777" w:rsidTr="0049164B">
        <w:trPr>
          <w:trHeight w:val="150"/>
          <w:tblCellSpacing w:w="0" w:type="dxa"/>
        </w:trPr>
        <w:tc>
          <w:tcPr>
            <w:tcW w:w="0" w:type="auto"/>
          </w:tcPr>
          <w:p w14:paraId="44B4F544" w14:textId="77777777" w:rsidR="009A0E71" w:rsidRDefault="009A0E71" w:rsidP="0049164B">
            <w:pPr>
              <w:spacing w:after="0" w:line="240" w:lineRule="auto"/>
              <w:jc w:val="both"/>
            </w:pPr>
            <w:r>
              <w:rPr>
                <w:rFonts w:ascii="맑은 고딕"/>
                <w:color w:val="000000"/>
                <w:sz w:val="20"/>
              </w:rPr>
              <w:t>(B) This heterogeneity is a feature of sport.</w:t>
            </w:r>
          </w:p>
        </w:tc>
      </w:tr>
      <w:tr w:rsidR="009A0E71" w14:paraId="1B267391" w14:textId="77777777" w:rsidTr="0049164B">
        <w:trPr>
          <w:trHeight w:val="150"/>
          <w:tblCellSpacing w:w="0" w:type="dxa"/>
        </w:trPr>
        <w:tc>
          <w:tcPr>
            <w:tcW w:w="0" w:type="auto"/>
          </w:tcPr>
          <w:p w14:paraId="34EA4A05" w14:textId="77777777" w:rsidR="009A0E71" w:rsidRDefault="009A0E71" w:rsidP="0049164B">
            <w:pPr>
              <w:spacing w:after="0" w:line="240" w:lineRule="auto"/>
              <w:jc w:val="both"/>
            </w:pPr>
            <w:r>
              <w:rPr>
                <w:rFonts w:ascii="맑은 고딕"/>
                <w:color w:val="000000"/>
                <w:sz w:val="20"/>
              </w:rPr>
              <w:t xml:space="preserve">(C) Unlike consumer products, sport cannot and does not display consistency as a key feature of marketing strategies. The sport marketer therefore must avoid marketing strategies based solely on </w:t>
            </w:r>
            <w:proofErr w:type="gramStart"/>
            <w:r>
              <w:rPr>
                <w:rFonts w:ascii="맑은 고딕"/>
                <w:color w:val="000000"/>
                <w:sz w:val="20"/>
              </w:rPr>
              <w:t>winning, and</w:t>
            </w:r>
            <w:proofErr w:type="gramEnd"/>
            <w:r>
              <w:rPr>
                <w:rFonts w:ascii="맑은 고딕"/>
                <w:color w:val="000000"/>
                <w:sz w:val="20"/>
              </w:rPr>
              <w:t xml:space="preserve"> must instead focus on developing product extensions such as the facility, parking, merchandise, souvenirs, food and beverages rather than on the core product (that is, the game itself).</w:t>
            </w:r>
          </w:p>
        </w:tc>
      </w:tr>
    </w:tbl>
    <w:p w14:paraId="0A3351F7" w14:textId="77777777" w:rsidR="009A0E71" w:rsidRPr="009A0E71" w:rsidRDefault="009A0E71">
      <w:pPr>
        <w:rPr>
          <w:rFonts w:hint="eastAsia"/>
          <w:lang w:eastAsia="ko-KR"/>
        </w:rPr>
      </w:pPr>
    </w:p>
    <w:sectPr w:rsidR="009A0E71" w:rsidRPr="009A0E71">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23539881">
    <w:abstractNumId w:val="1"/>
  </w:num>
  <w:num w:numId="2" w16cid:durableId="166096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474AFF"/>
    <w:rsid w:val="001210E6"/>
    <w:rsid w:val="00474AFF"/>
    <w:rsid w:val="004E6B3F"/>
    <w:rsid w:val="009A0E71"/>
    <w:rsid w:val="00A85933"/>
    <w:rsid w:val="00B41F65"/>
    <w:rsid w:val="00D127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9AA98BC"/>
  <w15:docId w15:val="{48D02003-1B47-7643-9616-010AA5EA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1931</Words>
  <Characters>11007</Characters>
  <Application>Microsoft Office Word</Application>
  <DocSecurity>0</DocSecurity>
  <Lines>91</Lines>
  <Paragraphs>25</Paragraphs>
  <ScaleCrop>false</ScaleCrop>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이재훈[ 학부재학 / 영어교육과 ]</cp:lastModifiedBy>
  <cp:revision>9</cp:revision>
  <dcterms:created xsi:type="dcterms:W3CDTF">2026-05-18T08:13:00Z</dcterms:created>
  <dcterms:modified xsi:type="dcterms:W3CDTF">2026-05-18T08:20:00Z</dcterms:modified>
</cp:coreProperties>
</file>