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4400"/>
      </w:tblGrid>
      <w:tr>
        <w:trPr>
          <w:trHeight w:val="150" w:hRule="atLeast"/>
        </w:trPr>
        <w:tc>
          <w:tcPr>
            <w:tcW w:w="14400" w:type="dxa"/>
            <w:tcBorders/>
            <w:vAlign w:val="center"/>
          </w:tcPr>
          <w:p>
            <w:pPr>
              <w:spacing w:after="0"/>
              <w:ind w:left="0"/>
              <w:jc w:val="left"/>
            </w:pPr>
            <w:r>
              <w:rPr>
                <w:rFonts w:ascii="Malgun Gothic"/>
                <w:b w:val="false"/>
                <w:i w:val="false"/>
                <w:color w:val="000000"/>
                <w:sz w:val="16"/>
              </w:rPr>
              <w:t>마더텅 15강 옛날지문</w:t>
            </w:r>
          </w:p>
        </w:tc>
      </w:tr>
    </w:tbl>
    <w:tbl>
      <w:tblPr>
        <w:tblW w:w="0" w:type="auto"/>
        <w:tblCellSpacing w:w="0" w:type="dxa"/>
        <w:tblBorders>
          <w:top w:val="none"/>
          <w:left w:val="none"/>
          <w:bottom w:val="none"/>
          <w:right w:val="none"/>
          <w:insideH w:val="none"/>
          <w:insideV w:val="none"/>
        </w:tblBorders>
      </w:tblPr>
      <w:tblGrid>
        <w:gridCol w:w="14400"/>
      </w:tblGrid>
      <w:tr>
        <w:trPr>
          <w:trHeight w:val="615" w:hRule="atLeast"/>
        </w:trPr>
        <w:tc>
          <w:tcPr>
            <w:tcW w:w="14400" w:type="dxa"/>
            <w:tcBorders>
              <w:top w:val="single" w:color="dadada" w:sz="8"/>
            </w:tcBorders>
            <w:shd w:fill="bdd6ee"/>
            <w:vAlign w:val="center"/>
          </w:tcPr>
          <w:p>
            <w:pPr>
              <w:spacing w:after="0"/>
              <w:ind w:left="0"/>
              <w:jc w:val="center"/>
            </w:pPr>
            <w:r>
              <w:rPr>
                <w:rFonts w:ascii="Malgun Gothic"/>
                <w:b w:val="false"/>
                <w:i w:val="false"/>
                <w:color w:val="00008b"/>
                <w:sz w:val="16"/>
              </w:rPr>
              <w:t>낱말배열 (정답지)</w:t>
            </w:r>
          </w:p>
        </w:tc>
      </w:tr>
    </w:tbl>
    <w:tbl>
      <w:tblPr>
        <w:tblW w:w="0" w:type="auto"/>
        <w:tblCellSpacing w:w="0" w:type="dxa"/>
        <w:tblBorders>
          <w:top w:val="none"/>
          <w:left w:val="none"/>
          <w:bottom w:val="none"/>
          <w:right w:val="none"/>
          <w:insideH w:val="none"/>
          <w:insideV w:val="none"/>
        </w:tblBorders>
      </w:tblPr>
      <w:tblGrid>
        <w:gridCol w:w="14400"/>
      </w:tblGrid>
      <w:tr>
        <w:trPr>
          <w:trHeight w:val="75" w:hRule="atLeast"/>
        </w:trPr>
        <w:tc>
          <w:tcPr>
            <w:tcW w:w="14400" w:type="dxa"/>
            <w:tcBorders/>
            <w:vAlign w:val="top"/>
          </w:tcPr>
          <w:tbl>
            <w:tblPr>
              <w:tblW w:w="0" w:type="auto"/>
              <w:tblCellSpacing w:w="0" w:type="dxa"/>
              <w:tblBorders>
                <w:top w:val="none"/>
                <w:left w:val="none"/>
                <w:bottom w:val="none"/>
                <w:right w:val="none"/>
                <w:insideH w:val="none"/>
                <w:insideV w:val="none"/>
              </w:tblBorders>
            </w:tblPr>
            <w:tblGrid>
              <w:gridCol w:w="6998"/>
              <w:gridCol w:w="7002"/>
            </w:tblGrid>
            <w:tr>
              <w:trPr>
                <w:trHeight w:val="225" w:hRule="atLeast"/>
              </w:trPr>
              <w:tc>
                <w:tcPr>
                  <w:tcW w:w="0" w:type="auto"/>
                  <w:gridSpan w:val="2"/>
                  <w:tcBorders/>
                  <w:vAlign w:val="center"/>
                </w:tcPr>
                <w:p>
                  <w:pPr>
                    <w:spacing w:after="0"/>
                    <w:ind w:left="0"/>
                    <w:jc w:val="both"/>
                  </w:pPr>
                  <w:r>
                    <w:rPr>
                      <w:rFonts w:ascii="Malgun Gothic"/>
                      <w:b/>
                      <w:i w:val="false"/>
                      <w:color w:val="00008b"/>
                      <w:sz w:val="16"/>
                    </w:rPr>
                    <w:t>15강 1번 180940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1.  When the first experimenter returned and tried retrieving the object from the first box, the great ape would help the experimenter open the second box, which it knew the object had been transferred to.</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15강 2번 200940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2.  Maybe we have just come to hear certain kinds of music as sad because we have learned to associate them in our culture with sad events like funerals.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3.  Totally opposed to this view is the position that the link between music and emotion is one of resemblance.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15강 8번 191140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4.  The persons put in the situation of buying a calculator that cost$ 15 found out from the vendor that the same product was available in a different store 20 minutes away and at a promotional price of$ 10.</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15강 14번 171140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5.  According to Peter Salovey, one of the originators of the concept of emotional intelligence, it depends on whether they perceive the new behavior as safe or risky.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15강 15번 180640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6.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15강 16번 210940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7.  Students who easily reached an agreement were less interested in the topic, studied less, and were less likely to visit the library to get additional information.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15강 17번 181140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8.  It is the uncertainty of the result and the quality of the contest that consumers find attractive.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9.  The sport marketer therefore must avoid marketing strategies based solely on winning, and must instead focus on developing product extensions such as the facility, parking, merchandise, souvenirs, food and beverages rather than on the core product( that is, the game itself).</w:t>
                  </w:r>
                </w:p>
              </w:tc>
            </w:tr>
          </w:tbl>
          <w:p/>
        </w:tc>
      </w:tr>
    </w:tbl>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