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150" w:hRule="atLeast"/>
        </w:trPr>
        <w:tc>
          <w:tcPr>
            <w:tcW w:w="14400" w:type="dxa"/>
            <w:tcBorders/>
            <w:vAlign w:val="center"/>
          </w:tcPr>
          <w:p>
            <w:pPr>
              <w:ind w:left="0"/>
              <w:jc w:val="left"/>
              <w:spacing w:after="0"/>
            </w:pPr>
            <w:r>
              <w:rPr>
                <w:rFonts w:ascii="맑은 고딕"/>
                <w:b w:val="0"/>
                <w:i w:val="0"/>
                <w:color w:val="000000"/>
                <w:sz w:val="16"/>
              </w:rPr>
              <w:t>명일여고1 외부지문2</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615" w:hRule="atLeast"/>
        </w:trPr>
        <w:tc>
          <w:tcPr>
            <w:tcW w:w="14400" w:type="dxa"/>
            <w:tcBorders>
              <w:top w:val="single" w:sz="8" w:space="0" w:color="DADADA"/>
            </w:tcBorders>
            <w:shd w:val="clear" w:color="auto" w:fill="BDD6EE"/>
            <w:vAlign w:val="center"/>
          </w:tcPr>
          <w:p>
            <w:pPr>
              <w:ind w:left="0"/>
              <w:jc w:val="center"/>
              <w:spacing w:after="0"/>
            </w:pPr>
            <w:r>
              <w:rPr>
                <w:rFonts w:ascii="맑은 고딕"/>
                <w:b w:val="0"/>
                <w:i w:val="0"/>
                <w:color w:val="00008B"/>
                <w:sz w:val="16"/>
              </w:rPr>
              <w:t>낱말배열 (정답지)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400"/>
      </w:tblGrid>
      <w:tr>
        <w:trPr>
          <w:trHeight w:val="75" w:hRule="atLeast"/>
        </w:trPr>
        <w:tc>
          <w:tcPr>
            <w:tcW w:w="14400" w:type="dxa"/>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6994"/>
              <w:gridCol w:w="7006"/>
            </w:tblGrid>
            <w:tr>
              <w:trPr>
                <w:trHeight w:val="225" w:hRule="atLeast"/>
              </w:trPr>
              <w:tc>
                <w:tcPr>
                  <w:tcW w:w="0" w:type="auto"/>
                  <w:gridSpan w:val="2"/>
                  <w:tcBorders/>
                  <w:vAlign w:val="center"/>
                </w:tcPr>
                <w:p>
                  <w:pPr>
                    <w:ind w:left="0"/>
                    <w:jc w:val="both"/>
                    <w:spacing w:after="0"/>
                  </w:pPr>
                  <w:r>
                    <w:rPr>
                      <w:rFonts w:ascii="맑은 고딕"/>
                      <w:b/>
                      <w:i w:val="0"/>
                      <w:color w:val="00008B"/>
                      <w:sz w:val="16"/>
                    </w:rPr>
                    <w:t>1. p80-수능 Analysis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1.  The statistics will vary depending on which article you read but the story is the same.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2.  When this information is fully contextualized, marketers can start to understand customer behaviours in what has become their very native digital environment.</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2. p96-수능 Analysis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3.  One important way in which sport differs from other common entertainment forms is that sport is spontaneous.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4.  But the emotions we may feel when watching a sporting event are hard to determine.</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5.  Because of its spontaneous nature, sport producers face a host of challenges that are different than those faced by most entertainment providers.</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3. p98-Practice 01</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6.  Strive to make your presentations as personal as possible and avoid speaking in a space larger than necessary.</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7.  Smaller rooms create a more intimate atmosphere, which will heighten the energy and emotion of an audience.</w:t>
                  </w:r>
                </w:p>
              </w:tc>
            </w:tr>
            <w:tr>
              <w:trPr>
                <w:trHeight w:val="30" w:hRule="atLeast"/>
              </w:trPr>
              <w:tc>
                <w:tcPr>
                  <w:tcW w:w="0" w:type="auto"/>
                  <w:gridSpan w:val="2"/>
                  <w:tcBorders/>
                  <w:vAlign w:val="center"/>
                </w:tcPr>
                <w:p/>
              </w:tc>
            </w:tr>
            <w:tr>
              <w:trPr>
                <w:trHeight w:val="225" w:hRule="atLeast"/>
              </w:trPr>
              <w:tc>
                <w:tcPr>
                  <w:tcW w:w="0" w:type="auto"/>
                  <w:gridSpan w:val="2"/>
                  <w:tcBorders/>
                  <w:vAlign w:val="center"/>
                </w:tcPr>
                <w:p>
                  <w:pPr>
                    <w:ind w:left="0"/>
                    <w:jc w:val="both"/>
                    <w:spacing w:after="0"/>
                  </w:pPr>
                  <w:r>
                    <w:rPr>
                      <w:rFonts w:ascii="맑은 고딕"/>
                      <w:b/>
                      <w:i w:val="0"/>
                      <w:color w:val="00008B"/>
                      <w:sz w:val="16"/>
                    </w:rPr>
                    <w:t>4. p108-Practice 03</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8.  A drastic increase in the use of fossil fuels since the industrial revolution greatly increased the rate at which humans were and still are adding to the entropy of the planet in the form of pollutants.</w:t>
                  </w:r>
                </w:p>
              </w:tc>
            </w:tr>
            <w:tr>
              <w:trPr>
                <w:trHeight w:val="75" w:hRule="atLeast"/>
              </w:trPr>
              <w:tc>
                <w:tcPr>
                  <w:tcW w:w="0" w:type="auto"/>
                  <w:gridSpan w:val="2"/>
                  <w:tcBorders/>
                  <w:vAlign w:val="center"/>
                </w:tcPr>
                <w:p>
                  <w:pPr>
                    <w:ind w:left="0"/>
                    <w:jc w:val="both"/>
                    <w:spacing w:after="0"/>
                  </w:pPr>
                  <w:r>
                    <w:rPr>
                      <w:rFonts w:ascii="맑은 고딕"/>
                      <w:b w:val="0"/>
                      <w:i w:val="0"/>
                      <w:color w:val="000000"/>
                      <w:sz w:val="18"/>
                    </w:rPr>
                    <w:t>9.  So, can solar energy be used to counterbalance increases in entropy caused by the use of fossil fuels?</w:t>
                  </w:r>
                </w:p>
              </w:tc>
            </w:tr>
          </w:tbl>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2025-11-13T12:18:51Z</dcterms:modified>
  <cp:version>1200.0100.01</cp:version>
</cp:coreProperties>
</file>