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 Even a few months after birth, infants react to a disturbance in those around them as though it were their own, crying when they see another child's tears.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 If you got up this morning and started contemplating the shape of your toothbrush or questioning the meaning of toast, you probably would not make it to work.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no.3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 They saw how many homes had three generations living under one roof, and how much respect grandparents commanded.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 They noticed the particular belief in equality of the community, which discouraged the wealthy from boasting about their success and helped the unsuccessful obscure their failures.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no.4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 Their ideas often originate in discussion, their writing is a response to discussion, and their papers are designed to stimulate further discussion.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