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Functions and Responsibilities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Executive Leadership / GP Authority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Hold final decision authority on capital allocation, entity formation, and deal go/no-go calls.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 the operating structure -- which positions exist, what each owns, and how work and information move between them.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Own investor commitments made in Shannon's or the GP's name and personal guaranties on debt.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Break ties and resolve conflicts between departments when a decision affects more than one function.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Approve any exception to the standard access, labeling, or standardization rules.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Require every department to report standardized performance data on a fixed cadence, regardless of that department's size or how independently it operates day to day.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Maintain unrestricted access to every department's information -- this is the check against any vertical operating as its own unaccountable company. Each department runs its own lane, but none of them are a black box to this position.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 the review cadence and escalation triggers (e.g., budget variance thresholds, covenant risk, litigation developments) that surface problems from any department before they compound.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Capital &amp; Deals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Find new investment opportunities.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Analyze whether a deal makes financial sense.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Decide the deal structure and funding needs.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Help negotiate and close the deal.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Development / Project Leadership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Oversee the whole project from start to finish.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Coordinate different departments.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Make major project decisions.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Track whether the project is following the original plan.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D. Phoenix Construction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Estimate construction costs.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Manage contractors and construction work.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Track the construction budget and schedule.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Handle change orders, draws, and construction issues.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Complete and hand over the finished property.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E. Property Management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Lease the units.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Collect rent and manage tenants.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Handle daily property operations and maintenance.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Track occupancy, rent, expenses, and leasing performance.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F. Asset Management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Compare actual property performance with the original plan.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Identify problems and important changes.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 forecasts and recommend actions.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Monitor the overall financial performance of the property.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G. Finance &amp; Administration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Own company-wide treasury, cash management, and financial reporting -- the oversight layer, not the transaction-entry layer.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Check and verify the financial numbers Bookkeeping produces before they go into any report.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Track cash, expenses, debt payments, and consolidated financial reports across all entities.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 financial policy and approval thresholds that Bookkeeping and Tax &amp; Audit operate under.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H. Bookkeeping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Record and organize financial transactions and pay bills (accounts payable) across all entities.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Process day-to-day accounting entries and reconcile accounts.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Never hold sole, unreviewed authority to originate a payment to an investor, lender, or new payee -- that requires Finance &amp; Administration or Executive Leadership sign-off. Recording the books and moving money are different jobs and stay in different hands.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I. Tax &amp; Audit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Manage tax preparation, filing, and audit response, working through the third-party CPA/audit firm SRI retains for this -- this position owns the relationship and the calendar, not necessarily the return preparation itself.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Maintain the tax compliance calendar (filing deadlines, K-1 delivery, entity-level elections) across all entities.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Coordinate with Finance &amp; Administration and Legal on tax basis, depreciation, and entity-structure questions that affect a filing.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Own investor K-1 accuracy and timeliness as the final checkpoint before distribution to investors.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J. Investor Relations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Communicate with investors.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Prepare investor updates and reports.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Explain major project changes and performance.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Make sure only approved information is shared with investors.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K. Legal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Prepare and manage legal documents and agreements.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Make sure the correct legal entity signs each agreement.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Handle legal notices and project-related legal issues.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Keep legal records organized by project.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L. Lending / Financing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Find and compare different loan options.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Manage loan documents and lender information.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Track loan terms, draws, and debt payments.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Support refinancing and other financing needs.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M. Marketing &amp; Capital Formation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Build the brand, content, and public track record that attracts new investors (distinct from Investor Relations, which serves investors already committed).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Produce and distribute investor-facing content across video, email, and social channels.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Manage the top-of-funnel investor pipeline and hand qualified leads to Capital &amp; Deals / Investor Relations.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Keep public claims about past performance consistent with what Asset Management and Finance can actually verify.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N. Risk &amp; Compliance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Track active litigation, disputes, and regulatory exposure across all entities and projects.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Run compliance screening (e.g., accredited-investor verification, sanctions/OFAC checks, contractor/vendor screening) before capital or access commitments are made.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Own the data-classification and access-control framework itself -- this Access Matrix and its updates.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Flag regulatory or export-control issues before a capital raise, new market, or outside collaborator arrangement moves forward.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O. Systems, Data &amp; AI Governance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Own the AI system and its integrations (Goose/Jester, Supabase, Drive, Gmail, ClickUp, etc.) as a position, independent of who is doing the technical work at any given time.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Maintain the Project Labeling, Standardization Rules, and Access Matrix as living documents and enforce them across new projects.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Approve any new data source or AI workflow before it goes live, and any outside contributor's access to sanitized company materials.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Monitor for broken handoffs, duplicate systems, and access-control failures, and report them to Executive Leadership.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P. Human Resources / People Operations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Handle hiring, onboarding, contractor agreements, and offboarding across all entities.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Maintain personnel records (distinct from Finance &amp; Administration / Bookkeeping, which processes the payroll transactions).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Own confidentiality, IP-assignment, and access-revocation paperwork for employees, contractors, and interns.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