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682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>
              <w:rPr>
                <w:rFonts w:ascii="Segoe UI" w:hAnsi="Segoe UI"/>
                <w:b/>
                <w:color w:val="FFFFFF"/>
                <w:sz w:val="36"/>
              </w:rPr>
              <w:t>DOSSIER ANALISA KASUS</w:t>
              <w:br/>
            </w:r>
            <w:r>
              <w:rPr>
                <w:rFonts w:ascii="Segoe UI" w:hAnsi="Segoe UI"/>
                <w:b/>
                <w:color w:val="FFFFFF"/>
                <w:sz w:val="24"/>
              </w:rPr>
              <w:t>Kebakaran Gudang Logistik - Indikasi Sabotase Terkoordinasi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6B6B6B"/>
                <w:sz w:val="18"/>
              </w:rPr>
              <w:t>ID Kasus</w:t>
              <w:br/>
            </w:r>
            <w:r>
              <w:rPr>
                <w:rFonts w:ascii="Segoe UI" w:hAnsi="Segoe UI"/>
                <w:b/>
                <w:color w:val="1A1A1A"/>
                <w:sz w:val="24"/>
              </w:rPr>
              <w:t>kasus-kebakaran-gudang</w:t>
            </w:r>
          </w:p>
        </w:tc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6B6B6B"/>
                <w:sz w:val="18"/>
              </w:rPr>
              <w:t>Indikasi Sindikat</w:t>
              <w:br/>
            </w:r>
            <w:r>
              <w:rPr>
                <w:rFonts w:ascii="Segoe UI" w:hAnsi="Segoe UI"/>
                <w:b/>
                <w:color w:val="1A1A1A"/>
                <w:sz w:val="24"/>
              </w:rPr>
              <w:t>Ya</w:t>
            </w:r>
          </w:p>
        </w:tc>
      </w:tr>
      <w:tr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6B6B6B"/>
                <w:sz w:val="18"/>
              </w:rPr>
              <w:t>Confidence</w:t>
              <w:br/>
            </w:r>
            <w:r>
              <w:rPr>
                <w:rFonts w:ascii="Segoe UI" w:hAnsi="Segoe UI"/>
                <w:b/>
                <w:color w:val="1A1A1A"/>
                <w:sz w:val="24"/>
              </w:rPr>
              <w:t>55%</w:t>
            </w:r>
          </w:p>
        </w:tc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6B6B6B"/>
                <w:sz w:val="18"/>
              </w:rPr>
              <w:t>Fingerprint SHA-256</w:t>
              <w:br/>
            </w:r>
            <w:r>
              <w:rPr>
                <w:rFonts w:ascii="Segoe UI" w:hAnsi="Segoe UI"/>
                <w:b/>
                <w:color w:val="1A1A1A"/>
                <w:sz w:val="24"/>
              </w:rPr>
              <w:t>ecab27d30c8bbf6ada7bd6a90d294bf62e376a3ce8a413bd534a8654bc0f2e4a</w:t>
            </w:r>
          </w:p>
        </w:tc>
      </w:tr>
    </w:tbl>
    <w:p>
      <w:pPr>
        <w:pStyle w:val="Heading1"/>
      </w:pPr>
      <w:r>
        <w:t>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F5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E8682A"/>
                <w:sz w:val="22"/>
              </w:rPr>
              <w:t>Intisari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Kebakaran gudang logistik di Bekasi mengusung indikasi sabotase terkoordinasi. Dari bundel data: 11 aktor terlibat, terdapat sekitar 30% mention ledakan sebelum api besar, narasi seragam tersebar di sekitar waktu kejadian, dan sinyal kehadiran bersama di titik pertemuan yang sama (pertemuan-bekasi-warehouse_hub). Analisis saat ini belum cukup untuk atribusi final terhadap aktor mana pun, tetapi pola-tanda tersebut konsisten dengan tindakan sabotase terkoordinasi atau koordinasi narasi pasca-insiden. Skor risiko tinggi (78/100) dengan probabilitas sabotase terorganisir sekitar 0.42.</w:t>
            </w:r>
          </w:p>
        </w:tc>
      </w:tr>
    </w:tbl>
    <w:p>
      <w:pPr>
        <w:pStyle w:val="Heading1"/>
      </w:pPr>
      <w:r>
        <w:t>Temuan Inti</w:t>
      </w:r>
    </w:p>
    <w:p>
      <w:pPr>
        <w:pStyle w:val="Heading2"/>
      </w:pPr>
      <w:r>
        <w:t>Alasan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F5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E8682A"/>
                <w:sz w:val="22"/>
              </w:rPr>
              <w:t>Dasar Penilaian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Ledakan awal terduga (mention ~30%)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Narasi seragam disebarkan secara hampir bersamaan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Sinyal kehadiran bersama di pertemuan lokasi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11 aktor terlibat secara terindikasi menurut dataset</w:t>
            </w:r>
          </w:p>
        </w:tc>
      </w:tr>
    </w:tbl>
    <w:p>
      <w:pPr>
        <w:pStyle w:val="Heading2"/>
      </w:pPr>
      <w:r>
        <w:t>Pola Koordinasi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F5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E65100"/>
                <w:sz w:val="22"/>
              </w:rPr>
              <w:t>Pola yang Terdeteksi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Narasi seragam tersebar hampir bersamaan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Posting pra-insiden dan check-in lokasi terkait dengan pertemuan titik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Akun sinkron dan overlap sumber konten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Pencocokan timestamp antara posting dan pertemuan</w:t>
            </w:r>
          </w:p>
        </w:tc>
      </w:tr>
    </w:tbl>
    <w:p>
      <w:pPr>
        <w:pStyle w:val="Heading1"/>
      </w:pPr>
      <w:r>
        <w:t>Entitas dan Relasi</w:t>
      </w:r>
    </w:p>
    <w:p>
      <w:pPr>
        <w:pStyle w:val="Heading2"/>
      </w:pPr>
      <w:r>
        <w:t>Aktor Inti</w:t>
      </w:r>
    </w:p>
    <w:p>
      <w:pPr>
        <w:pStyle w:val="Heading3"/>
      </w:pPr>
      <w:r>
        <w:t>Tabel Aktor Prioritas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ID Profil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Alasan</w:t>
            </w:r>
          </w:p>
        </w:tc>
      </w:tr>
      <w:tr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-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Belum ada aktor inti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-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-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-</w:t>
            </w:r>
          </w:p>
        </w:tc>
      </w:tr>
    </w:tbl>
    <w:p>
      <w:pPr>
        <w:pStyle w:val="Heading2"/>
      </w:pPr>
      <w:r>
        <w:t>Relasi Kunci</w:t>
      </w:r>
    </w:p>
    <w:p>
      <w:pPr>
        <w:pStyle w:val="Heading3"/>
      </w:pPr>
      <w:r>
        <w:t>Tabel Relasi Tervalidasi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Jenis Relasi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204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Alasan</w:t>
            </w:r>
          </w:p>
        </w:tc>
      </w:tr>
      <w:tr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laporan-98ee7ea21a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kasus-kebakaran-gudang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indikasi_sabotase_terkoordinasi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0%</w:t>
            </w:r>
          </w:p>
        </w:tc>
        <w:tc>
          <w:tcPr>
            <w:tcW w:type="dxa" w:w="204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pola narasi seragam, ledakan awal yang dilaporkan, dan sinyal hadir di pertemuan ahli saling terkait</w:t>
            </w:r>
          </w:p>
        </w:tc>
      </w:tr>
    </w:tbl>
    <w:p>
      <w:pPr>
        <w:pStyle w:val="Heading1"/>
      </w:pPr>
      <w:r>
        <w:t>Bukti dan Rekomendasi</w:t>
      </w:r>
    </w:p>
    <w:p>
      <w:pPr>
        <w:pStyle w:val="Heading2"/>
      </w:pPr>
      <w:r>
        <w:t>Bukti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F5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2E7D32"/>
                <w:sz w:val="22"/>
              </w:rPr>
              <w:t>Bukti Penguat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Sekitar 30% mention ledakan sebelum api besar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Narasi seragam tersebar dalam waktu hampir bersamaan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Terdapat posting pra-insiden dan sinyal shared meeting point</w:t>
            </w:r>
          </w:p>
        </w:tc>
      </w:tr>
    </w:tbl>
    <w:p>
      <w:pPr>
        <w:pStyle w:val="Heading2"/>
      </w:pPr>
      <w:r>
        <w:t>Bukti Lemah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F5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C62828"/>
                <w:sz w:val="22"/>
              </w:rPr>
              <w:t>Area yang Masih Lemah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Belum ada identitas aktor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Bukti tidak menunjukkan motif individu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Jumlah akun yang terlibat terbatas pada data publik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Keterbatasan waktu_tanggal dan geolokasi presisi</w:t>
            </w:r>
          </w:p>
        </w:tc>
      </w:tr>
    </w:tbl>
    <w:p>
      <w:pPr>
        <w:pStyle w:val="Heading2"/>
      </w:pPr>
      <w:r>
        <w:t>Rekomendasi Lanjutan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F5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E8682A"/>
                <w:sz w:val="22"/>
              </w:rPr>
              <w:t>Tindak Lanjut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Monitor akun dan bridge account yang overlap dengan kasus lain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Bandingkan check-in lokasi dengan data posting dan edge jaringan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Uji kembali wording copy-paste dan kedekatan timestamp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Konsolidasikan data forensik digital dan metadata posting</w:t>
            </w:r>
          </w:p>
          <w:p>
            <w:pPr>
              <w:pStyle w:val="ListBullet"/>
            </w:pPr>
            <w:r>
              <w:rPr>
                <w:rFonts w:ascii="Segoe UI" w:hAnsi="Segoe UI"/>
                <w:color w:val="1A1A1A"/>
                <w:sz w:val="21"/>
              </w:rPr>
              <w:t>Koordinasi dengan otoritas setempat untuk identifikasi aktor terkait</w:t>
            </w:r>
          </w:p>
        </w:tc>
      </w:tr>
    </w:tbl>
    <w:p>
      <w:pPr>
        <w:pStyle w:val="Heading1"/>
      </w:pPr>
      <w:r>
        <w:t>Narasi Analisis</w:t>
      </w:r>
    </w:p>
    <w:p>
      <w:r>
        <w:t>Analisis sintesis menunjukkan pola koordinasi narasi dan sinyal kehadiran bersama yang konsisten dengan sabotase terorganisir atau koordinasi narasi pasca-insiden. Namun, basis bukti masih terbatas pada pola publik dan data crawled; identitas aktor dan motif belum terkonfirmasi. Diperlukan evaluasi forensik digital yang lebih mendalam dan verifikasi lapangan untuk atribusi final.</w:t>
      </w:r>
    </w:p>
    <w:p>
      <w:pPr>
        <w:pStyle w:val="Heading1"/>
      </w:pPr>
      <w:r>
        <w:t>Statistik Bundel</w:t>
      </w:r>
    </w:p>
    <w:p>
      <w:pPr>
        <w:pStyle w:val="Heading3"/>
      </w:pPr>
      <w:r>
        <w:t>Ringkasan Data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5100"/>
            <w:shd w:fill="E8682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jumlah_laporan</w:t>
            </w:r>
          </w:p>
        </w:tc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1</w:t>
            </w:r>
          </w:p>
        </w:tc>
      </w:tr>
      <w:tr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jumlah_skor_risiko</w:t>
            </w:r>
          </w:p>
        </w:tc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1</w:t>
            </w:r>
          </w:p>
        </w:tc>
      </w:tr>
      <w:tr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jumlah_transaksi</w:t>
            </w:r>
          </w:p>
        </w:tc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jumlah_kampanye</w:t>
            </w:r>
          </w:p>
        </w:tc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jumlah_profil</w:t>
            </w:r>
          </w:p>
        </w:tc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jumlah_lokasi</w:t>
            </w:r>
          </w:p>
        </w:tc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jumlah_postingan</w:t>
            </w:r>
          </w:p>
        </w:tc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jumlah_node_graf</w:t>
            </w:r>
          </w:p>
        </w:tc>
        <w:tc>
          <w:tcPr>
            <w:tcW w:type="dxa" w:w="5100"/>
            <w:shd w:fill="FFF8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jumlah_edge_graf</w:t>
            </w:r>
          </w:p>
        </w:tc>
        <w:tc>
          <w:tcPr>
            <w:tcW w:type="dxa" w:w="5100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Segoe UI" w:hAnsi="Segoe UI"/>
                <w:color w:val="1A1A1A"/>
                <w:sz w:val="20"/>
              </w:rPr>
              <w:t>0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E868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6B6B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