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应对任务基本情况</w:t>
      </w:r>
    </w:p>
    <w:p>
      <w:r>
        <w:t>根据2026年06月风险管理工作安排，主管税务机关对A科技有限公司开展企业风险核查。本报告记录下发疑点、核实过程、政策依据和拟处理意见，供后续复核使用。</w:t>
      </w:r>
    </w:p>
    <w:p>
      <w:r>
        <w:t>任务具体情况</w:t>
      </w:r>
    </w:p>
    <w:p>
      <w:r>
        <w:t>本次任务围绕增值税收入确认、进项税额抵扣和关联方往来三个方向开展核查。经调取申报表、发票明细、合同台账、银行流水和企业说明，形成如下风险点核查情况。</w:t>
      </w:r>
    </w:p>
    <w:p>
      <w:r>
        <w:t>风险点一：销项收入与开票收入存在期间差异风险</w:t>
      </w:r>
    </w:p>
    <w:p>
      <w:r>
        <w:t>风险点具体描述：A科技有限公司2026年1月至3月开票收入与增值税申报销售额存在差异，可能存在未按纳税义务发生时间确认增值税应税收入的风险。</w:t>
      </w:r>
    </w:p>
    <w:p>
      <w:r>
        <w:t>验证情况：经核对合同履约节点、开票清单和申报明细，发现差异主要来源于跨期红字发票及已开票未确认服务验收事项。其中两笔服务已完成验收但未在当期确认销项收入，涉及不含税金额120000.00元。</w:t>
      </w:r>
    </w:p>
    <w:p>
      <w:r>
        <w:t>政策依据：根据《中华人民共和国增值税暂行条例》及其实施细则，纳税人发生应税销售行为，应按照纳税义务发生时间确认销售额并申报缴纳增值税。</w:t>
      </w:r>
    </w:p>
    <w:p>
      <w:r>
        <w:t>拟处理意见：风险确认</w:t>
      </w:r>
    </w:p>
    <w:p>
      <w:r>
        <w:t>风险点二：进项税额抵扣凭证与业务实质不匹配风险</w:t>
      </w:r>
    </w:p>
    <w:p>
      <w:r>
        <w:t>A科技有限公司2026年2月取得若干咨询服务专用发票，发票金额较集中且供应商成立时间较短，可能存在取得不符合规定抵扣凭证的风险。</w:t>
      </w:r>
    </w:p>
    <w:p>
      <w:r>
        <w:t>验证情况：经核查合同、付款流水、项目成果文件、人员访谈记录和供应商工商信息，相关咨询服务已实际发生，付款路径与合同约定一致，暂未发现虚开或不符合抵扣条件情形。</w:t>
      </w:r>
    </w:p>
    <w:p>
      <w:r>
        <w:t>政策依据：根据增值税进项税额抵扣相关规定，纳税人取得合法有效扣税凭证且用于应税项目的，可以按规定抵扣进项税额。</w:t>
      </w:r>
    </w:p>
    <w:p>
      <w:r>
        <w:t>拟处理意见：风险排除</w:t>
      </w:r>
    </w:p>
    <w:p>
      <w:r>
        <w:t>风险点六：应收账款余额较大且占增值税全部销售收入比例较高，造成少记增值税应税收入风险</w:t>
      </w:r>
    </w:p>
    <w:p>
      <w:r>
        <w:t>中移软件2022年应收账款期末余额为3835157923.58元，增值税全部销售收入为13000689629.13元；2021年该企业应收账款期末余额为2969056392.27元，增值税全部销售收入为7972729629.90元；应收账款余额较大且占增值税销售收入比例较高，且多为关联方应收账款。可能存在未及时确认收入的风险。</w:t>
      </w:r>
    </w:p>
    <w:p>
      <w:r>
        <w:t>验证情况：增值税计税依据是纳税义务发生时间，而非实际收款时间。经核实，A公司主要交易对象为集团内31省移动公司，因此应收账款多为关联方应收账款。企业应收账款余额主要与集团及31省公司回款进度、回款计划以及合同付款条款约定等有关。暂未发现企业存在应收账款未及时确认收入的风险。</w:t>
      </w:r>
    </w:p>
    <w:p>
      <w:r>
        <w:t>政策依据：根据增值税纳税义务发生时间相关规定，销售服务采取赊销或分期收款方式的，应按照书面合同约定的收款日期或服务完成等规则确认纳税义务发生时间。</w:t>
      </w:r>
    </w:p>
    <w:p>
      <w:r>
        <w:t>拟处理意见：风险排除</w:t>
      </w:r>
    </w:p>
    <w:sectPr>
      <w:pgSz w:w="11906" w:h="16838"/>
      <w:pgMar w:top="1440" w:right="1440" w:bottom="1440" w:left="1440"/>
    </w:sectPr>
  </w:body>
</w:document>
</file>

<file path=word/_rels/document.xml.rels><?xml version="1.0" encoding="UTF-8" standalone="yes"?>
<Relationships xmlns="http://schemas.openxmlformats.org/package/2006/relationships"/>
</file>