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企业风险应对报告</w:t>
      </w:r>
    </w:p>
    <w:p>
      <w:r>
        <w:t xml:space="preserve">一、应对任务基本情况</w:t>
      </w:r>
    </w:p>
    <w:p>
      <w:r>
        <w:t xml:space="preserve">本次应对任务来源于2026年06月企业风险核查专项任务，任务对象为上海云衡科技有限公司，主管税务机关为上海市浦东新区税务局。系统下发疑点主要集中在增值税进项税额、销售收入波动和期间费用列支三个方面，风险所属期为2026年01月至2026年03月。</w:t>
      </w:r>
    </w:p>
    <w:p>
      <w:r>
        <w:t xml:space="preserve">企业主营软件开发和技术服务，申报销售收入与开票金额总体匹配，但部分月份进项税额占比、费用增长幅度和收入确认节奏存在异常，需要结合合同、发票、银行流水、物流及业务成果资料开展核查。</w:t>
      </w:r>
    </w:p>
    <w:p>
      <w:r>
        <w:t xml:space="preserve">二、任务具体情况</w:t>
      </w:r>
    </w:p>
    <w:p>
      <w:r>
        <w:t xml:space="preserve">经对下发疑点、申报数据、发票数据和企业提供资料进行初步梳理，本次任务涉及三个主要风险点。总体看，企业能够提供部分合同、发票和付款凭证，但部分业务链条资料仍需补充，尤其是进项抵扣真实性、收入确认完整性和费用列支合理性方面需要进一步核实。</w:t>
      </w:r>
    </w:p>
    <w:p>
      <w:r>
        <w:t xml:space="preserve">风险点1：增值税进项税额异常风险</w:t>
      </w:r>
    </w:p>
    <w:p>
      <w:r>
        <w:t xml:space="preserve">风险点具体描述</w:t>
      </w:r>
    </w:p>
    <w:p>
      <w:r>
        <w:t xml:space="preserve">企业2026年01月至2026年03月进项税额占销售收入比例明显高于同行业平均水平，其中2月进项税额较上月增长较快，但同期销售收入未同步增长。下发疑点提示需核实进项发票真实性、抵扣范围及对应业务资料。</w:t>
      </w:r>
    </w:p>
    <w:p>
      <w:r>
        <w:t xml:space="preserve">验证情况</w:t>
      </w:r>
    </w:p>
    <w:p>
      <w:r>
        <w:t xml:space="preserve">已核对企业提供的采购合同、增值税专用发票、银行付款流水和部分验收资料。合同相对方与发票销售方基本一致，付款方向与合同约定一致；但部分技术服务采购项目仅提供发票和付款凭证，尚未提供完整交付成果、验收记录和项目使用说明。</w:t>
      </w:r>
    </w:p>
    <w:p>
      <w:r>
        <w:t xml:space="preserve">政策依据</w:t>
      </w:r>
    </w:p>
    <w:p>
      <w:r>
        <w:t xml:space="preserve">企业抵扣进项税额应以真实交易为基础，并符合增值税进项税额抵扣相关规定。对资料链条不完整、无法证明用于应税项目的进项税额，应结合正式政策口径进一步核实是否允许抵扣。</w:t>
      </w:r>
    </w:p>
    <w:p>
      <w:r>
        <w:t xml:space="preserve">拟处理意见</w:t>
      </w:r>
    </w:p>
    <w:p>
      <w:r>
        <w:t xml:space="preserve">建议要求企业补充技术服务成果、验收单、项目使用记录等资料；对能够形成合同、发票、付款、验收闭环的进项税额，暂按已提供资料留存备查；对资料不足且不能说明业务真实性的进项税额，建议进一步约谈核实并视情况作进项税额转出处理。</w:t>
      </w:r>
    </w:p>
    <w:p>
      <w:r>
        <w:t xml:space="preserve">风险点2：销售收入确认异常风险</w:t>
      </w:r>
    </w:p>
    <w:p>
      <w:r>
        <w:t xml:space="preserve">风险点具体描述</w:t>
      </w:r>
    </w:p>
    <w:p>
      <w:r>
        <w:t xml:space="preserve">企业2026年02月销售收入较上期下降幅度较大，但当期开票金额和项目交付记录显示部分服务已经完成，存在收入确认不及时或未开票收入未申报的风险。</w:t>
      </w:r>
    </w:p>
    <w:p>
      <w:r>
        <w:t xml:space="preserve">验证情况</w:t>
      </w:r>
    </w:p>
    <w:p>
      <w:r>
        <w:t xml:space="preserve">已抽查5份主要销售合同、项目验收单和开票记录。部分项目在2月底已取得客户验收确认，但企业解释相关款项尚未收回，因此未在当期确认收入。银行流水显示部分款项在3月到账，收入申报集中体现在3月。</w:t>
      </w:r>
    </w:p>
    <w:p>
      <w:r>
        <w:t xml:space="preserve">政策依据</w:t>
      </w:r>
    </w:p>
    <w:p>
      <w:r>
        <w:t xml:space="preserve">企业应按照相关税收政策和会计核算要求确认收入，不能仅以是否收款作为判断收入是否发生的唯一依据。对已经完成服务并取得验收资料的项目，应结合纳税义务发生时间和收入确认口径进行核实。</w:t>
      </w:r>
    </w:p>
    <w:p>
      <w:r>
        <w:t xml:space="preserve">拟处理意见</w:t>
      </w:r>
    </w:p>
    <w:p>
      <w:r>
        <w:t xml:space="preserve">建议逐项核实2月已验收项目的服务完成时间、合同结算条款、开票时间和申报所属期。对已达到确认条件但未申报的收入，建议企业补充申报并说明更正情况；对确未达到确认条件的项目，应留存合同条款和验收节点说明。</w:t>
      </w:r>
    </w:p>
    <w:p>
      <w:r>
        <w:t xml:space="preserve">风险点3：期间费用列支异常风险</w:t>
      </w:r>
    </w:p>
    <w:p>
      <w:r>
        <w:t xml:space="preserve">风险点具体描述</w:t>
      </w:r>
    </w:p>
    <w:p>
      <w:r>
        <w:t xml:space="preserve">企业2026年01月至2026年03月咨询服务费、会议费等期间费用增长较快，金额占销售收入比例偏高，存在费用真实性不足、与经营活动关联性不强或不符合税前扣除要求的风险。</w:t>
      </w:r>
    </w:p>
    <w:p>
      <w:r>
        <w:t xml:space="preserve">验证情况</w:t>
      </w:r>
    </w:p>
    <w:p>
      <w:r>
        <w:t xml:space="preserve">已核对部分咨询服务合同、发票、付款凭证和会议通知资料。企业能够提供主要合同和付款记录，但部分咨询服务缺少具体成果文件，部分会议费未能提供完整参会名单和会议议程。</w:t>
      </w:r>
    </w:p>
    <w:p>
      <w:r>
        <w:t xml:space="preserve">政策依据</w:t>
      </w:r>
    </w:p>
    <w:p>
      <w:r>
        <w:t xml:space="preserve">企业所得税税前扣除项目应真实、合法、合理，并与取得收入相关。对缺少业务实质证明、成果资料或内部审批资料的费用，应结合正式政策口径判断是否允许税前扣除。</w:t>
      </w:r>
    </w:p>
    <w:p>
      <w:r>
        <w:t xml:space="preserve">拟处理意见</w:t>
      </w:r>
    </w:p>
    <w:p>
      <w:r>
        <w:t xml:space="preserve">建议企业补充咨询成果、会议签到、会议议程、内部审批和业务关联说明。对资料完整且与经营相关的费用予以留存备查；对无法证明真实性和相关性的费用，建议调增应纳税所得额并按规定处理。</w:t>
      </w:r>
    </w:p>
    <w:p>
      <w:r>
        <w:t xml:space="preserve">三、综合意见</w:t>
      </w:r>
    </w:p>
    <w:p>
      <w:r>
        <w:t xml:space="preserve">本报告认为，企业已提供部分基础资料，但部分风险点证据链仍不完整。建议继续围绕合同、发票、资金流、业务流、成果资料和申报数据开展补充核实，并根据补充资料情况形成最终处理结论。</w:t>
      </w:r>
    </w:p>
    <w:sectPr/>
  </w:body>
</w:document>
</file>