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drawing>
          <wp:inline distT="0" distB="0" distL="0" distR="0">
            <wp:extent cx="2095500" cy="1047750"/>
            <wp:effectExtent t="0" r="0" b="0" l="0"/>
            <wp:docPr id="1" name="AgroSoya" descr="Logo oficial AgroSoya" title="AgroSoy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1047750"/>
                    </a:xfrm>
                    <a:prstGeom prst="rect">
                      <a:avLst/>
                    </a:prstGeom>
                  </pic:spPr>
                </pic:pic>
              </a:graphicData>
            </a:graphic>
          </wp:inline>
        </w:drawing>
      </w:r>
    </w:p>
    <w:p>
      <w:pPr>
        <w:spacing w:after="0" w:before="400"/>
        <w:jc w:val="center"/>
      </w:pPr>
      <w:r>
        <w:rPr>
          <w:rFonts w:ascii="Arial" w:cs="Arial" w:eastAsia="Arial" w:hAnsi="Arial"/>
          <w:b/>
          <w:bCs/>
          <w:color w:val="064E2E"/>
          <w:sz w:val="72"/>
          <w:szCs w:val="72"/>
        </w:rPr>
        <w:t xml:space="preserve">AgroSoya</w:t>
      </w:r>
    </w:p>
    <w:p>
      <w:pPr>
        <w:spacing w:after="0" w:before="120"/>
        <w:jc w:val="center"/>
      </w:pPr>
      <w:r>
        <w:rPr>
          <w:rFonts w:ascii="Arial" w:cs="Arial" w:eastAsia="Arial" w:hAnsi="Arial"/>
          <w:i/>
          <w:iCs/>
          <w:color w:val="008C45"/>
          <w:sz w:val="28"/>
          <w:szCs w:val="28"/>
        </w:rPr>
        <w:t xml:space="preserve">Plataforma de Gestión de la Cadena Soyera con Inteligencia Artificial</w:t>
      </w:r>
    </w:p>
    <w:p>
      <w:pPr>
        <w:spacing w:after="0" w:before="480"/>
        <w:jc w:val="center"/>
      </w:pPr>
      <w:r>
        <w:rPr>
          <w:rFonts w:ascii="Arial" w:cs="Arial" w:eastAsia="Arial" w:hAnsi="Arial"/>
          <w:b/>
          <w:bCs/>
          <w:color w:val="064E2E"/>
          <w:sz w:val="36"/>
          <w:szCs w:val="36"/>
        </w:rPr>
        <w:t xml:space="preserve">DOCUMENTO TÉCNICO OFICIAL</w:t>
      </w:r>
    </w:p>
    <w:p>
      <w:pPr>
        <w:spacing w:after="0" w:before="80"/>
        <w:jc w:val="center"/>
      </w:pPr>
      <w:r>
        <w:rPr>
          <w:rFonts w:ascii="Arial" w:cs="Arial" w:eastAsia="Arial" w:hAnsi="Arial"/>
          <w:color w:val="D6A03A"/>
          <w:sz w:val="24"/>
          <w:szCs w:val="24"/>
        </w:rPr>
        <w:t xml:space="preserve">Hackathon Build With AI 2026  |  Mención AGRO</w:t>
      </w:r>
    </w:p>
    <w:p>
      <w:pPr>
        <w:spacing w:after="0" w:before="80"/>
        <w:jc w:val="center"/>
      </w:pPr>
      <w:r>
        <w:rPr>
          <w:rFonts w:ascii="Arial" w:cs="Arial" w:eastAsia="Arial" w:hAnsi="Arial"/>
          <w:color w:val="5B665F"/>
          <w:sz w:val="22"/>
          <w:szCs w:val="22"/>
        </w:rPr>
        <w:t xml:space="preserve">Santa Cruz de la Sierra — Bolivia  |  29–31 de mayo de 2026</w:t>
      </w:r>
    </w:p>
    <w:p>
      <w:r>
        <w:br w:type="page"/>
      </w:r>
    </w:p>
    <w:p>
      <w:pPr>
        <w:pStyle w:val="Heading1"/>
        <w:spacing w:after="120" w:before="360"/>
      </w:pPr>
      <w:r>
        <w:rPr>
          <w:rFonts w:ascii="Arial" w:cs="Arial" w:eastAsia="Arial" w:hAnsi="Arial"/>
          <w:b/>
          <w:bCs/>
          <w:color w:val="064E2E"/>
          <w:sz w:val="32"/>
          <w:szCs w:val="32"/>
        </w:rPr>
        <w:t xml:space="preserve">Índice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064E2E"/>
          <w:sz w:val="32"/>
          <w:szCs w:val="32"/>
        </w:rPr>
        <w:t xml:space="preserve">1. Resumen Ejecutivo</w:t>
      </w:r>
    </w:p>
    <w:p>
      <w:pPr>
        <w:spacing w:after="120" w:before="60"/>
      </w:pPr>
      <w:r>
        <w:rPr>
          <w:rFonts w:ascii="Arial" w:cs="Arial" w:eastAsia="Arial" w:hAnsi="Arial"/>
          <w:color w:val="1F2A24"/>
          <w:sz w:val="22"/>
          <w:szCs w:val="22"/>
        </w:rPr>
        <w:t xml:space="preserve">AgroSoya es una plataforma web tipo PWA (Progressive Web App) diseñada para digitalizar y conectar dos momentos críticos de la cadena soyera cruceña: la gestión productiva de la campaña agrícola en campo y el control de calidad en los centros de acopio. La solución opera mediante dos modos funcionales integrados: Modo Campo y Modo Acopio.</w:t>
      </w:r>
    </w:p>
    <w:p>
      <w:pPr>
        <w:spacing w:after="120" w:before="60"/>
      </w:pPr>
      <w:r>
        <w:rPr>
          <w:rFonts w:ascii="Arial" w:cs="Arial" w:eastAsia="Arial" w:hAnsi="Arial"/>
          <w:color w:val="1F2A24"/>
          <w:sz w:val="22"/>
          <w:szCs w:val="22"/>
        </w:rPr>
        <w:t xml:space="preserve">El Modo Campo permite al agricultor o técnico registrar campañas de soya, costos, insumos, fumigaciones, bitácora fotográfica y calcular la rentabilidad esperada. El Modo Acopio permite a silos e industrias registrar el ingreso de camiones, cargar la humedad medida con equipo externo, analizar visualmente muestras de grano con inteligencia artificial mediante Gemini API, calcular el castigo económico y generar reportes trazables de recepción.</w:t>
      </w:r>
    </w:p>
    <w:p>
      <w:pPr>
        <w:spacing w:after="120" w:before="60"/>
      </w:pPr>
      <w:r>
        <w:rPr>
          <w:rFonts w:ascii="Arial" w:cs="Arial" w:eastAsia="Arial" w:hAnsi="Arial"/>
          <w:color w:val="1F2A24"/>
          <w:sz w:val="22"/>
          <w:szCs w:val="22"/>
        </w:rPr>
        <w:t xml:space="preserve">La solución se construye sobre un stack moderno y viable para hackathon: React + Vite + TypeScript + Tailwind CSS, con Firebase Hosting y Firestore en plan Spark gratuito, y Gemini Developer API en su nivel free tier. El MVP no reemplaza laboratorios ni profesionales agronómicos; valida el núcleo digital e inteligente de una solución escalable.</w:t>
      </w:r>
    </w:p>
    <w:p>
      <w:pPr>
        <w:spacing w:after="120" w:before="60"/>
      </w:pPr>
      <w:r>
        <w:rPr>
          <w:rFonts w:ascii="Arial" w:cs="Arial" w:eastAsia="Arial" w:hAnsi="Arial"/>
          <w:color w:val="1F2A24"/>
          <w:sz w:val="22"/>
          <w:szCs w:val="22"/>
        </w:rPr>
        <w:t xml:space="preserve">Santa Cruz concentra más del 95% de la producción de soya en Bolivia, con una superficie estimada de más de 1,4 millones de hectáreas cultivadas en la campaña 2023–2024 (dato pendiente de validación con ANAPO 2024). La brecha digital en la gestión de campo y acopio representa una oportunidad real de innovación con impacto directo en la productividad y trazabilidad del sector.</w:t>
      </w:r>
    </w:p>
    <w:p>
      <w:r>
        <w:br w:type="page"/>
      </w:r>
    </w:p>
    <w:p>
      <w:pPr>
        <w:pStyle w:val="Heading1"/>
        <w:spacing w:after="120" w:before="360"/>
      </w:pPr>
      <w:r>
        <w:rPr>
          <w:rFonts w:ascii="Arial" w:cs="Arial" w:eastAsia="Arial" w:hAnsi="Arial"/>
          <w:b/>
          <w:bCs/>
          <w:color w:val="064E2E"/>
          <w:sz w:val="32"/>
          <w:szCs w:val="32"/>
        </w:rPr>
        <w:t xml:space="preserve">2. Introducción</w:t>
      </w:r>
    </w:p>
    <w:p>
      <w:pPr>
        <w:spacing w:after="120" w:before="60"/>
      </w:pPr>
      <w:r>
        <w:rPr>
          <w:rFonts w:ascii="Arial" w:cs="Arial" w:eastAsia="Arial" w:hAnsi="Arial"/>
          <w:color w:val="1F2A24"/>
          <w:sz w:val="22"/>
          <w:szCs w:val="22"/>
        </w:rPr>
        <w:t xml:space="preserve">La Hackathon Build With AI 2026, organizada por Google Developer Groups Santa Cruz y Women Techmakers Santa Cruz en la Universidad Católica Boliviana, propone el desarrollo de soluciones tecnológicas basadas en Inteligencia Artificial para problemáticas reales del departamento de Santa Cruz. AgroSoya se inscribe en la mención AGRO, respondiendo a la brecha digital en la cadena de valor de la soya.</w:t>
      </w:r>
    </w:p>
    <w:p>
      <w:pPr>
        <w:spacing w:after="120" w:before="60"/>
      </w:pPr>
      <w:r>
        <w:rPr>
          <w:rFonts w:ascii="Arial" w:cs="Arial" w:eastAsia="Arial" w:hAnsi="Arial"/>
          <w:color w:val="1F2A24"/>
          <w:sz w:val="22"/>
          <w:szCs w:val="22"/>
        </w:rPr>
        <w:t xml:space="preserve">La soya es el principal cultivo agroindustrial de Bolivia y el motor exportador de Santa Cruz. Sin embargo, la gestión de la campaña productiva y el control de calidad en acopio continúan siendo procesos con alta dependencia de registros manuales, criterios subjetivos y poca trazabilidad digital. Este documento técnico presenta AgroSoya como respuesta a esa realidad.</w:t>
      </w:r>
    </w:p>
    <w:p>
      <w:pPr>
        <w:spacing w:after="120" w:before="60"/>
      </w:pPr>
      <w:r>
        <w:rPr>
          <w:rFonts w:ascii="Arial" w:cs="Arial" w:eastAsia="Arial" w:hAnsi="Arial"/>
          <w:color w:val="1F2A24"/>
          <w:sz w:val="22"/>
          <w:szCs w:val="22"/>
        </w:rPr>
        <w:t xml:space="preserve">El presente documento ha sido elaborado siguiendo los lineamientos oficiales del evento (Build With AI 2026 Lineamientos CompletosV1) y el documento de gestión del proyecto del equipo. Incluye investigación sectorial, análisis estratégico, especificación técnica del MVP, modelo de datos, análisis financiero y los marcos de FODA, PESTEL y Lean Canvas exigidos por el jurado.</w:t>
      </w:r>
    </w:p>
    <w:p>
      <w:r>
        <w:br w:type="page"/>
      </w:r>
    </w:p>
    <w:p>
      <w:pPr>
        <w:pStyle w:val="Heading1"/>
        <w:spacing w:after="120" w:before="360"/>
      </w:pPr>
      <w:r>
        <w:rPr>
          <w:rFonts w:ascii="Arial" w:cs="Arial" w:eastAsia="Arial" w:hAnsi="Arial"/>
          <w:b/>
          <w:bCs/>
          <w:color w:val="064E2E"/>
          <w:sz w:val="32"/>
          <w:szCs w:val="32"/>
        </w:rPr>
        <w:t xml:space="preserve">3. Contexto e Investigación del Sector Soyero en Santa Cruz</w:t>
      </w:r>
    </w:p>
    <w:p>
      <w:pPr>
        <w:pStyle w:val="Heading2"/>
        <w:spacing w:after="80" w:before="240"/>
      </w:pPr>
      <w:r>
        <w:rPr>
          <w:rFonts w:ascii="Arial" w:cs="Arial" w:eastAsia="Arial" w:hAnsi="Arial"/>
          <w:b/>
          <w:bCs/>
          <w:color w:val="008C45"/>
          <w:sz w:val="26"/>
          <w:szCs w:val="26"/>
        </w:rPr>
        <w:t xml:space="preserve">3.1 Importancia de la Soya en Bolivia</w:t>
      </w:r>
    </w:p>
    <w:p>
      <w:pPr>
        <w:spacing w:after="120" w:before="60"/>
      </w:pPr>
      <w:r>
        <w:rPr>
          <w:rFonts w:ascii="Arial" w:cs="Arial" w:eastAsia="Arial" w:hAnsi="Arial"/>
          <w:color w:val="1F2A24"/>
          <w:sz w:val="22"/>
          <w:szCs w:val="22"/>
        </w:rPr>
        <w:t xml:space="preserve">Santa Cruz de la Sierra es el eje productivo agroindustrial de Bolivia. El departamento concentra la mayor parte de la superficie cultivable y es el principal proveedor de productos agropecuarios del país. La soya (Glycine max) ocupa un lugar central en esa estructura productiva.</w:t>
      </w:r>
    </w:p>
    <w:p>
      <w:pPr>
        <w:spacing w:after="120" w:before="60"/>
      </w:pPr>
      <w:r>
        <w:rPr>
          <w:rFonts w:ascii="Arial" w:cs="Arial" w:eastAsia="Arial" w:hAnsi="Arial"/>
          <w:color w:val="1F2A24"/>
          <w:sz w:val="22"/>
          <w:szCs w:val="22"/>
        </w:rPr>
        <w:t xml:space="preserve">Según la Asociación de Productores de Oleaginosas y Trigo (ANAPO), Bolivia cuenta con más de 1,4 millones de hectáreas de soya en campaña, siendo el principal cultivo de exportación del país (dato pendiente de validación: ANAPO Informe de Gestión 2024). El complejo soyero boliviano, compuesto por aceite, harina y torta, representa una fracción relevante de las divisas generadas por el sector agroindustrial cruceño.</w:t>
      </w:r>
    </w:p>
    <w:p>
      <w:pPr>
        <w:spacing w:after="120" w:before="60"/>
      </w:pPr>
      <w:r>
        <w:rPr>
          <w:rFonts w:ascii="Arial" w:cs="Arial" w:eastAsia="Arial" w:hAnsi="Arial"/>
          <w:color w:val="1F2A24"/>
          <w:sz w:val="22"/>
          <w:szCs w:val="22"/>
        </w:rPr>
        <w:t xml:space="preserve">El Instituto Nacional de Estadística (INE Bolivia) reporta que el sector agropecuario aporta alrededor del 13–14% al PIB nacional, siendo Santa Cruz el departamento de mayor participación. El Instituto Boliviano de Comercio Exterior (IBCE) publica periódicamente estadísticas de exportación que posicionan al complejo soyero entre los primeros rubros exportadores no tradicionales.</w:t>
      </w:r>
    </w:p>
    <w:p>
      <w:pPr>
        <w:pStyle w:val="Heading2"/>
        <w:spacing w:after="80" w:before="240"/>
      </w:pPr>
      <w:r>
        <w:rPr>
          <w:rFonts w:ascii="Arial" w:cs="Arial" w:eastAsia="Arial" w:hAnsi="Arial"/>
          <w:b/>
          <w:bCs/>
          <w:color w:val="008C45"/>
          <w:sz w:val="26"/>
          <w:szCs w:val="26"/>
        </w:rPr>
        <w:t xml:space="preserve">3.2 Cadena de Valor de la Soya</w:t>
      </w:r>
    </w:p>
    <w:p>
      <w:pPr>
        <w:spacing w:after="120" w:before="60"/>
      </w:pPr>
      <w:r>
        <w:rPr>
          <w:rFonts w:ascii="Arial" w:cs="Arial" w:eastAsia="Arial" w:hAnsi="Arial"/>
          <w:color w:val="1F2A24"/>
          <w:sz w:val="22"/>
          <w:szCs w:val="22"/>
        </w:rPr>
        <w:t xml:space="preserve">La cadena soyera involucra múltiples actores y momentos decisivos: planificación de campaña, selección de semilla, siembra, aplicación de insumos, fumigaciones, monitoreo de plagas, cosecha, transporte, recepción en silos o centros de acopio, análisis de calidad, procesamiento y comercialización.</w:t>
      </w:r>
    </w:p>
    <w:p>
      <w:pPr>
        <w:spacing w:after="120" w:before="60"/>
      </w:pPr>
      <w:r>
        <w:rPr>
          <w:rFonts w:ascii="Arial" w:cs="Arial" w:eastAsia="Arial" w:hAnsi="Arial"/>
          <w:color w:val="1F2A24"/>
          <w:sz w:val="22"/>
          <w:szCs w:val="22"/>
        </w:rPr>
        <w:t xml:space="preserve">Los centros de acopio y silos son nodos críticos de la cadena. En ellos se evalúa el grano según parámetros de calidad que determinan el precio final pagado al productor: humedad, impurezas, granos partidos, granos manchados y presencia de moho. Una carga con alta humedad o impurezas recibe un castigo económico que reduce el precio de liquidación.</w:t>
      </w:r>
    </w:p>
    <w:p>
      <w:pPr>
        <w:pStyle w:val="Heading2"/>
        <w:spacing w:after="80" w:before="240"/>
      </w:pPr>
      <w:r>
        <w:rPr>
          <w:rFonts w:ascii="Arial" w:cs="Arial" w:eastAsia="Arial" w:hAnsi="Arial"/>
          <w:b/>
          <w:bCs/>
          <w:color w:val="008C45"/>
          <w:sz w:val="26"/>
          <w:szCs w:val="26"/>
        </w:rPr>
        <w:t xml:space="preserve">3.3 Brecha Digital Identificada</w:t>
      </w:r>
    </w:p>
    <w:p>
      <w:pPr>
        <w:spacing w:after="120" w:before="60"/>
      </w:pPr>
      <w:r>
        <w:rPr>
          <w:rFonts w:ascii="Arial" w:cs="Arial" w:eastAsia="Arial" w:hAnsi="Arial"/>
          <w:color w:val="1F2A24"/>
          <w:sz w:val="22"/>
          <w:szCs w:val="22"/>
        </w:rPr>
        <w:t xml:space="preserve">A pesar de la envergadura económica del sector, persisten importantes brechas digitales en la gestión cotidiana:</w:t>
      </w:r>
    </w:p>
    <w:p>
      <w:pPr>
        <w:pStyle w:val="ListParagraph"/>
        <w:numPr>
          <w:ilvl w:val="0"/>
          <w:numId w:val="2"/>
        </w:numPr>
        <w:spacing w:after="40" w:before="40"/>
      </w:pPr>
      <w:r>
        <w:rPr>
          <w:rFonts w:ascii="Arial" w:cs="Arial" w:eastAsia="Arial" w:hAnsi="Arial"/>
          <w:color w:val="1F2A24"/>
          <w:sz w:val="22"/>
          <w:szCs w:val="22"/>
        </w:rPr>
        <w:t xml:space="preserve">En campo: el agricultor planifica costos, registra insumos y evalúa rentabilidad con métodos manuales, hojas de cálculo no estandarizadas o de memoria, sin herramientas integradas de seguimiento de campaña.</w:t>
      </w:r>
    </w:p>
    <w:p>
      <w:pPr>
        <w:pStyle w:val="ListParagraph"/>
        <w:numPr>
          <w:ilvl w:val="0"/>
          <w:numId w:val="2"/>
        </w:numPr>
        <w:spacing w:after="40" w:before="40"/>
      </w:pPr>
      <w:r>
        <w:rPr>
          <w:rFonts w:ascii="Arial" w:cs="Arial" w:eastAsia="Arial" w:hAnsi="Arial"/>
          <w:color w:val="1F2A24"/>
          <w:sz w:val="22"/>
          <w:szCs w:val="22"/>
        </w:rPr>
        <w:t xml:space="preserve">En acopio: el registro de ingreso de camiones, la evaluación visual de muestras y el cálculo de castigos se realizan en muchos casos con formularios en papel o sistemas básicos no conectados digitalmente con el historial del productor.</w:t>
      </w:r>
    </w:p>
    <w:p>
      <w:pPr>
        <w:pStyle w:val="ListParagraph"/>
        <w:numPr>
          <w:ilvl w:val="0"/>
          <w:numId w:val="2"/>
        </w:numPr>
        <w:spacing w:after="40" w:before="40"/>
      </w:pPr>
      <w:r>
        <w:rPr>
          <w:rFonts w:ascii="Arial" w:cs="Arial" w:eastAsia="Arial" w:hAnsi="Arial"/>
          <w:color w:val="1F2A24"/>
          <w:sz w:val="22"/>
          <w:szCs w:val="22"/>
        </w:rPr>
        <w:t xml:space="preserve">Falta de trazabilidad: no existe un hilo digital que conecte el origen del lote en campo con su evaluación final en el silo, lo que dificulta análisis históricos y toma de decisiones basadas en datos.</w:t>
      </w:r>
    </w:p>
    <w:p>
      <w:pPr>
        <w:spacing w:after="120" w:before="60"/>
      </w:pPr>
      <w:r>
        <w:rPr>
          <w:rFonts w:ascii="Arial" w:cs="Arial" w:eastAsia="Arial" w:hAnsi="Arial"/>
          <w:color w:val="1F2A24"/>
          <w:sz w:val="22"/>
          <w:szCs w:val="22"/>
        </w:rPr>
        <w:t xml:space="preserve">Esta brecha es el problema central que AgroSoya busca resolver.</w:t>
      </w:r>
    </w:p>
    <w:p>
      <w:r>
        <w:br w:type="page"/>
      </w:r>
    </w:p>
    <w:p>
      <w:pPr>
        <w:pStyle w:val="Heading1"/>
        <w:spacing w:after="120" w:before="360"/>
      </w:pPr>
      <w:r>
        <w:rPr>
          <w:rFonts w:ascii="Arial" w:cs="Arial" w:eastAsia="Arial" w:hAnsi="Arial"/>
          <w:b/>
          <w:bCs/>
          <w:color w:val="064E2E"/>
          <w:sz w:val="32"/>
          <w:szCs w:val="32"/>
        </w:rPr>
        <w:t xml:space="preserve">4. Problema Identificado</w:t>
      </w:r>
    </w:p>
    <w:p>
      <w:pPr>
        <w:pStyle w:val="Heading2"/>
        <w:spacing w:after="80" w:before="240"/>
      </w:pPr>
      <w:r>
        <w:rPr>
          <w:rFonts w:ascii="Arial" w:cs="Arial" w:eastAsia="Arial" w:hAnsi="Arial"/>
          <w:b/>
          <w:bCs/>
          <w:color w:val="008C45"/>
          <w:sz w:val="26"/>
          <w:szCs w:val="26"/>
        </w:rPr>
        <w:t xml:space="preserve">4.1 Declaración del Problema</w:t>
      </w:r>
    </w:p>
    <w:p>
      <w:pPr>
        <w:pBdr>
          <w:left w:val="single" w:color="008C45" w:sz="12"/>
        </w:pBdr>
        <w:spacing w:after="80" w:before="80"/>
        <w:ind w:left="360"/>
      </w:pPr>
      <w:r>
        <w:rPr>
          <w:rFonts w:ascii="Arial" w:cs="Arial" w:eastAsia="Arial" w:hAnsi="Arial"/>
          <w:b/>
          <w:bCs/>
          <w:i/>
          <w:iCs/>
          <w:color w:val="064E2E"/>
          <w:sz w:val="22"/>
          <w:szCs w:val="22"/>
        </w:rPr>
        <w:t xml:space="preserve">Existe una brecha digital entre la gestión del agricultor en campo y la evaluación de calidad en acopio. Esta brecha dificulta anticipar riesgos, registrar costos, estimar rentabilidad, analizar calidad de la soya y generar reportes trazables para tomar mejores decisiones.</w:t>
      </w:r>
    </w:p>
    <w:p>
      <w:pPr>
        <w:spacing w:after="0" w:before="0"/>
      </w:pPr>
      <w:r>
        <w:t xml:space="preserve"/>
      </w:r>
    </w:p>
    <w:p>
      <w:pPr>
        <w:pStyle w:val="Heading2"/>
        <w:spacing w:after="80" w:before="240"/>
      </w:pPr>
      <w:r>
        <w:rPr>
          <w:rFonts w:ascii="Arial" w:cs="Arial" w:eastAsia="Arial" w:hAnsi="Arial"/>
          <w:b/>
          <w:bCs/>
          <w:color w:val="008C45"/>
          <w:sz w:val="26"/>
          <w:szCs w:val="26"/>
        </w:rPr>
        <w:t xml:space="preserve">4.2 Subproblema A: Campo</w:t>
      </w:r>
    </w:p>
    <w:p>
      <w:pPr>
        <w:pStyle w:val="ListParagraph"/>
        <w:numPr>
          <w:ilvl w:val="0"/>
          <w:numId w:val="2"/>
        </w:numPr>
        <w:spacing w:after="40" w:before="40"/>
      </w:pPr>
      <w:r>
        <w:rPr>
          <w:rFonts w:ascii="Arial" w:cs="Arial" w:eastAsia="Arial" w:hAnsi="Arial"/>
          <w:color w:val="1F2A24"/>
          <w:sz w:val="22"/>
          <w:szCs w:val="22"/>
        </w:rPr>
        <w:t xml:space="preserve">El agricultor necesita planificar la campaña y estimar costos antes de sembrar, sin contar con herramientas digitales integradas.</w:t>
      </w:r>
    </w:p>
    <w:p>
      <w:pPr>
        <w:pStyle w:val="ListParagraph"/>
        <w:numPr>
          <w:ilvl w:val="0"/>
          <w:numId w:val="2"/>
        </w:numPr>
        <w:spacing w:after="40" w:before="40"/>
      </w:pPr>
      <w:r>
        <w:rPr>
          <w:rFonts w:ascii="Arial" w:cs="Arial" w:eastAsia="Arial" w:hAnsi="Arial"/>
          <w:color w:val="1F2A24"/>
          <w:sz w:val="22"/>
          <w:szCs w:val="22"/>
        </w:rPr>
        <w:t xml:space="preserve">No existe un registro estructurado de semilla, abonos, herbicidas, insecticidas, fungicidas, fumigaciones, resiembra y plagas observadas.</w:t>
      </w:r>
    </w:p>
    <w:p>
      <w:pPr>
        <w:pStyle w:val="ListParagraph"/>
        <w:numPr>
          <w:ilvl w:val="0"/>
          <w:numId w:val="2"/>
        </w:numPr>
        <w:spacing w:after="40" w:before="40"/>
      </w:pPr>
      <w:r>
        <w:rPr>
          <w:rFonts w:ascii="Arial" w:cs="Arial" w:eastAsia="Arial" w:hAnsi="Arial"/>
          <w:color w:val="1F2A24"/>
          <w:sz w:val="22"/>
          <w:szCs w:val="22"/>
        </w:rPr>
        <w:t xml:space="preserve">La estimación de rendimiento, ingreso y punto de equilibrio se realiza sin modelos de cálculo estandarizados.</w:t>
      </w:r>
    </w:p>
    <w:p>
      <w:pPr>
        <w:pStyle w:val="ListParagraph"/>
        <w:numPr>
          <w:ilvl w:val="0"/>
          <w:numId w:val="2"/>
        </w:numPr>
        <w:spacing w:after="40" w:before="40"/>
      </w:pPr>
      <w:r>
        <w:rPr>
          <w:rFonts w:ascii="Arial" w:cs="Arial" w:eastAsia="Arial" w:hAnsi="Arial"/>
          <w:color w:val="1F2A24"/>
          <w:sz w:val="22"/>
          <w:szCs w:val="22"/>
        </w:rPr>
        <w:t xml:space="preserve">La bitácora fotográfica del cultivo es informal o inexistente, dificultando el seguimiento histórico de la campaña.</w:t>
      </w:r>
    </w:p>
    <w:p>
      <w:pPr>
        <w:pStyle w:val="ListParagraph"/>
        <w:numPr>
          <w:ilvl w:val="0"/>
          <w:numId w:val="2"/>
        </w:numPr>
        <w:spacing w:after="40" w:before="40"/>
      </w:pPr>
      <w:r>
        <w:rPr>
          <w:rFonts w:ascii="Arial" w:cs="Arial" w:eastAsia="Arial" w:hAnsi="Arial"/>
          <w:color w:val="1F2A24"/>
          <w:sz w:val="22"/>
          <w:szCs w:val="22"/>
        </w:rPr>
        <w:t xml:space="preserve">En muchas zonas rurales, la conectividad es limitada o intermitente, lo que requiere soluciones offline-first.</w:t>
      </w:r>
    </w:p>
    <w:p>
      <w:pPr>
        <w:pStyle w:val="Heading2"/>
        <w:spacing w:after="80" w:before="240"/>
      </w:pPr>
      <w:r>
        <w:rPr>
          <w:rFonts w:ascii="Arial" w:cs="Arial" w:eastAsia="Arial" w:hAnsi="Arial"/>
          <w:b/>
          <w:bCs/>
          <w:color w:val="008C45"/>
          <w:sz w:val="26"/>
          <w:szCs w:val="26"/>
        </w:rPr>
        <w:t xml:space="preserve">4.3 Subproblema B: Acopio / Industria</w:t>
      </w:r>
    </w:p>
    <w:p>
      <w:pPr>
        <w:pStyle w:val="ListParagraph"/>
        <w:numPr>
          <w:ilvl w:val="0"/>
          <w:numId w:val="2"/>
        </w:numPr>
        <w:spacing w:after="40" w:before="40"/>
      </w:pPr>
      <w:r>
        <w:rPr>
          <w:rFonts w:ascii="Arial" w:cs="Arial" w:eastAsia="Arial" w:hAnsi="Arial"/>
          <w:color w:val="1F2A24"/>
          <w:sz w:val="22"/>
          <w:szCs w:val="22"/>
        </w:rPr>
        <w:t xml:space="preserve">El registro de ingreso de camión/lote en centros de acopio es manual y poco trazable.</w:t>
      </w:r>
    </w:p>
    <w:p>
      <w:pPr>
        <w:pStyle w:val="ListParagraph"/>
        <w:numPr>
          <w:ilvl w:val="0"/>
          <w:numId w:val="2"/>
        </w:numPr>
        <w:spacing w:after="40" w:before="40"/>
      </w:pPr>
      <w:r>
        <w:rPr>
          <w:rFonts w:ascii="Arial" w:cs="Arial" w:eastAsia="Arial" w:hAnsi="Arial"/>
          <w:color w:val="1F2A24"/>
          <w:sz w:val="22"/>
          <w:szCs w:val="22"/>
        </w:rPr>
        <w:t xml:space="preserve">La humedad del grano se mide con equipos externos (medidores físicos de humedad) y ese dato debe ingresar al sistema; no puede determinarse confiablemente desde una imagen.</w:t>
      </w:r>
    </w:p>
    <w:p>
      <w:pPr>
        <w:pStyle w:val="ListParagraph"/>
        <w:numPr>
          <w:ilvl w:val="0"/>
          <w:numId w:val="2"/>
        </w:numPr>
        <w:spacing w:after="40" w:before="40"/>
      </w:pPr>
      <w:r>
        <w:rPr>
          <w:rFonts w:ascii="Arial" w:cs="Arial" w:eastAsia="Arial" w:hAnsi="Arial"/>
          <w:color w:val="1F2A24"/>
          <w:sz w:val="22"/>
          <w:szCs w:val="22"/>
        </w:rPr>
        <w:t xml:space="preserve">La evaluación visual de la muestra de soya se realiza de manera subjetiva, sin un estándar digital sistemático.</w:t>
      </w:r>
    </w:p>
    <w:p>
      <w:pPr>
        <w:pStyle w:val="ListParagraph"/>
        <w:numPr>
          <w:ilvl w:val="0"/>
          <w:numId w:val="2"/>
        </w:numPr>
        <w:spacing w:after="40" w:before="40"/>
      </w:pPr>
      <w:r>
        <w:rPr>
          <w:rFonts w:ascii="Arial" w:cs="Arial" w:eastAsia="Arial" w:hAnsi="Arial"/>
          <w:color w:val="1F2A24"/>
          <w:sz w:val="22"/>
          <w:szCs w:val="22"/>
        </w:rPr>
        <w:t xml:space="preserve">El cálculo del castigo económico basado en parámetros de calidad carece de automatización y trazabilidad.</w:t>
      </w:r>
    </w:p>
    <w:p>
      <w:pPr>
        <w:pStyle w:val="ListParagraph"/>
        <w:numPr>
          <w:ilvl w:val="0"/>
          <w:numId w:val="2"/>
        </w:numPr>
        <w:spacing w:after="40" w:before="40"/>
      </w:pPr>
      <w:r>
        <w:rPr>
          <w:rFonts w:ascii="Arial" w:cs="Arial" w:eastAsia="Arial" w:hAnsi="Arial"/>
          <w:color w:val="1F2A24"/>
          <w:sz w:val="22"/>
          <w:szCs w:val="22"/>
        </w:rPr>
        <w:t xml:space="preserve">No se generan reportes digitales de recepción que conecten el lote con su historial de calidad.</w:t>
      </w:r>
    </w:p>
    <w:p>
      <w:r>
        <w:br w:type="page"/>
      </w:r>
    </w:p>
    <w:p>
      <w:pPr>
        <w:pStyle w:val="Heading1"/>
        <w:spacing w:after="120" w:before="360"/>
      </w:pPr>
      <w:r>
        <w:rPr>
          <w:rFonts w:ascii="Arial" w:cs="Arial" w:eastAsia="Arial" w:hAnsi="Arial"/>
          <w:b/>
          <w:bCs/>
          <w:color w:val="064E2E"/>
          <w:sz w:val="32"/>
          <w:szCs w:val="32"/>
        </w:rPr>
        <w:t xml:space="preserve">5. Usuarios y Beneficiarios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Usuario / Rol</w:t>
            </w:r>
          </w:p>
        </w:tc>
        <w:tc>
          <w:tcPr>
            <w:tcW w:type="dxa" w:w="400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Necesidad Principal</w:t>
            </w:r>
          </w:p>
        </w:tc>
        <w:tc>
          <w:tcPr>
            <w:tcW w:type="dxa" w:w="236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Modo del Sistema</w:t>
            </w:r>
          </w:p>
        </w:tc>
      </w:tr>
      <w:tr>
        <w:tc>
          <w:tcPr>
            <w:tcW w:type="dxa" w:w="30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Agricultor / técnico de campo</w:t>
            </w:r>
          </w:p>
        </w:tc>
        <w:tc>
          <w:tcPr>
            <w:tcW w:type="dxa" w:w="40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Gestionar campaña, costos, insumos, fumigaciones, bitácora y calcular rentabilidad</w:t>
            </w:r>
          </w:p>
        </w:tc>
        <w:tc>
          <w:tcPr>
            <w:tcW w:type="dxa" w:w="23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Modo Campo</w:t>
            </w:r>
          </w:p>
        </w:tc>
      </w:tr>
      <w:tr>
        <w:tc>
          <w:tcPr>
            <w:tcW w:type="dxa" w:w="30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Industria / silo / acopio</w:t>
            </w:r>
          </w:p>
        </w:tc>
        <w:tc>
          <w:tcPr>
            <w:tcW w:type="dxa" w:w="40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Registrar camión, humedad, muestra visual, análisis IA, castigo y reporte</w:t>
            </w:r>
          </w:p>
        </w:tc>
        <w:tc>
          <w:tcPr>
            <w:tcW w:type="dxa" w:w="23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Modo Acopio</w:t>
            </w:r>
          </w:p>
        </w:tc>
      </w:tr>
      <w:tr>
        <w:tc>
          <w:tcPr>
            <w:tcW w:type="dxa" w:w="30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Cooperativas y asociaciones productivas</w:t>
            </w:r>
          </w:p>
        </w:tc>
        <w:tc>
          <w:tcPr>
            <w:tcW w:type="dxa" w:w="40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Consolidar información de múltiples productores y campañas</w:t>
            </w:r>
          </w:p>
        </w:tc>
        <w:tc>
          <w:tcPr>
            <w:tcW w:type="dxa" w:w="23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Ambos modos (fase futura)</w:t>
            </w:r>
          </w:p>
        </w:tc>
      </w:tr>
      <w:tr>
        <w:tc>
          <w:tcPr>
            <w:tcW w:type="dxa" w:w="30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Transportista / lote</w:t>
            </w:r>
          </w:p>
        </w:tc>
        <w:tc>
          <w:tcPr>
            <w:tcW w:type="dxa" w:w="40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Obtener ID de lote y reporte de recepción</w:t>
            </w:r>
          </w:p>
        </w:tc>
        <w:tc>
          <w:tcPr>
            <w:tcW w:type="dxa" w:w="23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Modo Acopio (reporte)</w:t>
            </w:r>
          </w:p>
        </w:tc>
      </w:tr>
      <w:tr>
        <w:tc>
          <w:tcPr>
            <w:tcW w:type="dxa" w:w="30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Técnico agropecuario / extensionista</w:t>
            </w:r>
          </w:p>
        </w:tc>
        <w:tc>
          <w:tcPr>
            <w:tcW w:type="dxa" w:w="40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Apoyar al productor en registro y seguimiento de campaña</w:t>
            </w:r>
          </w:p>
        </w:tc>
        <w:tc>
          <w:tcPr>
            <w:tcW w:type="dxa" w:w="23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Modo Campo</w:t>
            </w:r>
          </w:p>
        </w:tc>
      </w:tr>
      <w:tr>
        <w:tc>
          <w:tcPr>
            <w:tcW w:type="dxa" w:w="30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Gerencia de agroindustria</w:t>
            </w:r>
          </w:p>
        </w:tc>
        <w:tc>
          <w:tcPr>
            <w:tcW w:type="dxa" w:w="40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Visualizar histórico de recepciones, calidad y castigos</w:t>
            </w:r>
          </w:p>
        </w:tc>
        <w:tc>
          <w:tcPr>
            <w:tcW w:type="dxa" w:w="23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Modo Acopio (fase futura)</w:t>
            </w:r>
          </w:p>
        </w:tc>
      </w:tr>
    </w:tbl>
    <w:p>
      <w:pPr>
        <w:spacing w:after="0" w:before="0"/>
      </w:pPr>
      <w:r>
        <w:t xml:space="preserve"/>
      </w:r>
    </w:p>
    <w:p>
      <w:pPr>
        <w:spacing w:after="120" w:before="60"/>
      </w:pPr>
      <w:r>
        <w:rPr>
          <w:rFonts w:ascii="Arial" w:cs="Arial" w:eastAsia="Arial" w:hAnsi="Arial"/>
          <w:color w:val="1F2A24"/>
          <w:sz w:val="22"/>
          <w:szCs w:val="22"/>
        </w:rPr>
        <w:t xml:space="preserve">Los beneficiarios directos del MVP son los agricultores que necesitan digitalizar su gestión de campaña y los operadores de acopio que buscan sistematizar la evaluación de calidad. Los beneficiarios indirectos incluyen al ecosistema agroindustrial cruceño: cooperativas, financieras rurales, proveedores de insumos y organismos de control como SENASAG y el Ministerio de Desarrollo Rural y Tierras.</w:t>
      </w:r>
    </w:p>
    <w:p>
      <w:r>
        <w:br w:type="page"/>
      </w:r>
    </w:p>
    <w:p>
      <w:pPr>
        <w:pStyle w:val="Heading1"/>
        <w:spacing w:after="120" w:before="360"/>
      </w:pPr>
      <w:r>
        <w:rPr>
          <w:rFonts w:ascii="Arial" w:cs="Arial" w:eastAsia="Arial" w:hAnsi="Arial"/>
          <w:b/>
          <w:bCs/>
          <w:color w:val="064E2E"/>
          <w:sz w:val="32"/>
          <w:szCs w:val="32"/>
        </w:rPr>
        <w:t xml:space="preserve">6. Solución Propuesta</w:t>
      </w:r>
    </w:p>
    <w:p>
      <w:pPr>
        <w:pStyle w:val="Heading2"/>
        <w:spacing w:after="80" w:before="240"/>
      </w:pPr>
      <w:r>
        <w:rPr>
          <w:rFonts w:ascii="Arial" w:cs="Arial" w:eastAsia="Arial" w:hAnsi="Arial"/>
          <w:b/>
          <w:bCs/>
          <w:color w:val="008C45"/>
          <w:sz w:val="26"/>
          <w:szCs w:val="26"/>
        </w:rPr>
        <w:t xml:space="preserve">6.1 Descripción General</w:t>
      </w:r>
    </w:p>
    <w:p>
      <w:pPr>
        <w:spacing w:after="120" w:before="60"/>
      </w:pPr>
      <w:r>
        <w:rPr>
          <w:rFonts w:ascii="Arial" w:cs="Arial" w:eastAsia="Arial" w:hAnsi="Arial"/>
          <w:color w:val="1F2A24"/>
          <w:sz w:val="22"/>
          <w:szCs w:val="22"/>
        </w:rPr>
        <w:t xml:space="preserve">AgroSoya es una plataforma web tipo PWA con dos modos de operación integrados bajo una misma interfaz institucional agroindustrial. La solución digitaliza el continuo productivo desde la siembra hasta la recepción del grano, usando inteligencia artificial como apoyo a la decisión en el punto de acopio.</w:t>
      </w:r>
    </w:p>
    <w:p>
      <w:pPr>
        <w:pStyle w:val="Heading2"/>
        <w:spacing w:after="80" w:before="240"/>
      </w:pPr>
      <w:r>
        <w:rPr>
          <w:rFonts w:ascii="Arial" w:cs="Arial" w:eastAsia="Arial" w:hAnsi="Arial"/>
          <w:b/>
          <w:bCs/>
          <w:color w:val="008C45"/>
          <w:sz w:val="26"/>
          <w:szCs w:val="26"/>
        </w:rPr>
        <w:t xml:space="preserve">6.2 Modo Campo</w:t>
      </w:r>
    </w:p>
    <w:p>
      <w:pPr>
        <w:spacing w:after="120" w:before="60"/>
      </w:pPr>
      <w:r>
        <w:rPr>
          <w:rFonts w:ascii="Arial" w:cs="Arial" w:eastAsia="Arial" w:hAnsi="Arial"/>
          <w:color w:val="1F2A24"/>
          <w:sz w:val="22"/>
          <w:szCs w:val="22"/>
        </w:rPr>
        <w:t xml:space="preserve">Orientado al agricultor o técnico de campo. Opera con capacidad offline parcial para zonas con conectividad limitada.</w:t>
      </w:r>
    </w:p>
    <w:p>
      <w:pPr>
        <w:pStyle w:val="ListParagraph"/>
        <w:numPr>
          <w:ilvl w:val="0"/>
          <w:numId w:val="2"/>
        </w:numPr>
        <w:spacing w:after="40" w:before="40"/>
      </w:pPr>
      <w:r>
        <w:rPr>
          <w:rFonts w:ascii="Arial" w:cs="Arial" w:eastAsia="Arial" w:hAnsi="Arial"/>
          <w:color w:val="1F2A24"/>
          <w:sz w:val="22"/>
          <w:szCs w:val="22"/>
        </w:rPr>
        <w:t xml:space="preserve">Creación y gestión de campañas de soya con parámetros de zona, hectáreas, semilla y fecha de siembra.</w:t>
      </w:r>
    </w:p>
    <w:p>
      <w:pPr>
        <w:pStyle w:val="ListParagraph"/>
        <w:numPr>
          <w:ilvl w:val="0"/>
          <w:numId w:val="2"/>
        </w:numPr>
        <w:spacing w:after="40" w:before="40"/>
      </w:pPr>
      <w:r>
        <w:rPr>
          <w:rFonts w:ascii="Arial" w:cs="Arial" w:eastAsia="Arial" w:hAnsi="Arial"/>
          <w:color w:val="1F2A24"/>
          <w:sz w:val="22"/>
          <w:szCs w:val="22"/>
        </w:rPr>
        <w:t xml:space="preserve">Registro estructurado de costos e insumos: semilla, abonos, herbicidas, insecticidas, fungicidas, maquinaria, diésel y transporte.</w:t>
      </w:r>
    </w:p>
    <w:p>
      <w:pPr>
        <w:pStyle w:val="ListParagraph"/>
        <w:numPr>
          <w:ilvl w:val="0"/>
          <w:numId w:val="2"/>
        </w:numPr>
        <w:spacing w:after="40" w:before="40"/>
      </w:pPr>
      <w:r>
        <w:rPr>
          <w:rFonts w:ascii="Arial" w:cs="Arial" w:eastAsia="Arial" w:hAnsi="Arial"/>
          <w:color w:val="1F2A24"/>
          <w:sz w:val="22"/>
          <w:szCs w:val="22"/>
        </w:rPr>
        <w:t xml:space="preserve">Registro de fumigaciones, plagas observadas, lluvias y actividades del ciclo productivo.</w:t>
      </w:r>
    </w:p>
    <w:p>
      <w:pPr>
        <w:pStyle w:val="ListParagraph"/>
        <w:numPr>
          <w:ilvl w:val="0"/>
          <w:numId w:val="2"/>
        </w:numPr>
        <w:spacing w:after="40" w:before="40"/>
      </w:pPr>
      <w:r>
        <w:rPr>
          <w:rFonts w:ascii="Arial" w:cs="Arial" w:eastAsia="Arial" w:hAnsi="Arial"/>
          <w:color w:val="1F2A24"/>
          <w:sz w:val="22"/>
          <w:szCs w:val="22"/>
        </w:rPr>
        <w:t xml:space="preserve">Bitácora fotográfica del cultivo para seguimiento visual de la campaña.</w:t>
      </w:r>
    </w:p>
    <w:p>
      <w:pPr>
        <w:pStyle w:val="ListParagraph"/>
        <w:numPr>
          <w:ilvl w:val="0"/>
          <w:numId w:val="2"/>
        </w:numPr>
        <w:spacing w:after="40" w:before="40"/>
      </w:pPr>
      <w:r>
        <w:rPr>
          <w:rFonts w:ascii="Arial" w:cs="Arial" w:eastAsia="Arial" w:hAnsi="Arial"/>
          <w:color w:val="1F2A24"/>
          <w:sz w:val="22"/>
          <w:szCs w:val="22"/>
        </w:rPr>
        <w:t xml:space="preserve">Calculadora de rentabilidad: costo total, costo por hectárea, producción estimada, ingreso esperado, ganancia y punto de equilibrio.</w:t>
      </w:r>
    </w:p>
    <w:p>
      <w:pPr>
        <w:pStyle w:val="ListParagraph"/>
        <w:numPr>
          <w:ilvl w:val="0"/>
          <w:numId w:val="2"/>
        </w:numPr>
        <w:spacing w:after="40" w:before="40"/>
      </w:pPr>
      <w:r>
        <w:rPr>
          <w:rFonts w:ascii="Arial" w:cs="Arial" w:eastAsia="Arial" w:hAnsi="Arial"/>
          <w:color w:val="1F2A24"/>
          <w:sz w:val="22"/>
          <w:szCs w:val="22"/>
        </w:rPr>
        <w:t xml:space="preserve">Sección de noticias y precio de soya con datos precargados o manuales para demo.</w:t>
      </w:r>
    </w:p>
    <w:p>
      <w:pPr>
        <w:pStyle w:val="Heading2"/>
        <w:spacing w:after="80" w:before="240"/>
      </w:pPr>
      <w:r>
        <w:rPr>
          <w:rFonts w:ascii="Arial" w:cs="Arial" w:eastAsia="Arial" w:hAnsi="Arial"/>
          <w:b/>
          <w:bCs/>
          <w:color w:val="008C45"/>
          <w:sz w:val="26"/>
          <w:szCs w:val="26"/>
        </w:rPr>
        <w:t xml:space="preserve">6.3 Modo Acopio</w:t>
      </w:r>
    </w:p>
    <w:p>
      <w:pPr>
        <w:spacing w:after="120" w:before="60"/>
      </w:pPr>
      <w:r>
        <w:rPr>
          <w:rFonts w:ascii="Arial" w:cs="Arial" w:eastAsia="Arial" w:hAnsi="Arial"/>
          <w:color w:val="1F2A24"/>
          <w:sz w:val="22"/>
          <w:szCs w:val="22"/>
        </w:rPr>
        <w:t xml:space="preserve">Orientado a silos, industrias y centros de recepción. Flujo principal del MVP y demo.</w:t>
      </w:r>
    </w:p>
    <w:p>
      <w:pPr>
        <w:pStyle w:val="ListParagraph"/>
        <w:numPr>
          <w:ilvl w:val="0"/>
          <w:numId w:val="2"/>
        </w:numPr>
        <w:spacing w:after="40" w:before="40"/>
      </w:pPr>
      <w:r>
        <w:rPr>
          <w:rFonts w:ascii="Arial" w:cs="Arial" w:eastAsia="Arial" w:hAnsi="Arial"/>
          <w:color w:val="1F2A24"/>
          <w:sz w:val="22"/>
          <w:szCs w:val="22"/>
        </w:rPr>
        <w:t xml:space="preserve">Registro de ingreso de camión/lote: productor, zona, peso bruto, fecha y hora de ingreso.</w:t>
      </w:r>
    </w:p>
    <w:p>
      <w:pPr>
        <w:pStyle w:val="ListParagraph"/>
        <w:numPr>
          <w:ilvl w:val="0"/>
          <w:numId w:val="2"/>
        </w:numPr>
        <w:spacing w:after="40" w:before="40"/>
      </w:pPr>
      <w:r>
        <w:rPr>
          <w:rFonts w:ascii="Arial" w:cs="Arial" w:eastAsia="Arial" w:hAnsi="Arial"/>
          <w:color w:val="1F2A24"/>
          <w:sz w:val="22"/>
          <w:szCs w:val="22"/>
        </w:rPr>
        <w:t xml:space="preserve">Ingreso manual de humedad medida con equipo externo (la humedad NO se calcula desde imagen).</w:t>
      </w:r>
    </w:p>
    <w:p>
      <w:pPr>
        <w:pStyle w:val="ListParagraph"/>
        <w:numPr>
          <w:ilvl w:val="0"/>
          <w:numId w:val="2"/>
        </w:numPr>
        <w:spacing w:after="40" w:before="40"/>
      </w:pPr>
      <w:r>
        <w:rPr>
          <w:rFonts w:ascii="Arial" w:cs="Arial" w:eastAsia="Arial" w:hAnsi="Arial"/>
          <w:color w:val="1F2A24"/>
          <w:sz w:val="22"/>
          <w:szCs w:val="22"/>
        </w:rPr>
        <w:t xml:space="preserve">Carga de muestra visual de soya: mínimo 5 fotografías sobre fondo uniforme con buena iluminación.</w:t>
      </w:r>
    </w:p>
    <w:p>
      <w:pPr>
        <w:pStyle w:val="ListParagraph"/>
        <w:numPr>
          <w:ilvl w:val="0"/>
          <w:numId w:val="2"/>
        </w:numPr>
        <w:spacing w:after="40" w:before="40"/>
      </w:pPr>
      <w:r>
        <w:rPr>
          <w:rFonts w:ascii="Arial" w:cs="Arial" w:eastAsia="Arial" w:hAnsi="Arial"/>
          <w:color w:val="1F2A24"/>
          <w:sz w:val="22"/>
          <w:szCs w:val="22"/>
        </w:rPr>
        <w:t xml:space="preserve">Análisis visual con IA (Gemini API): clasificación de grano sano, partido, manchado, impurezas visibles y posible moho.</w:t>
      </w:r>
    </w:p>
    <w:p>
      <w:pPr>
        <w:pStyle w:val="ListParagraph"/>
        <w:numPr>
          <w:ilvl w:val="0"/>
          <w:numId w:val="2"/>
        </w:numPr>
        <w:spacing w:after="40" w:before="40"/>
      </w:pPr>
      <w:r>
        <w:rPr>
          <w:rFonts w:ascii="Arial" w:cs="Arial" w:eastAsia="Arial" w:hAnsi="Arial"/>
          <w:color w:val="1F2A24"/>
          <w:sz w:val="22"/>
          <w:szCs w:val="22"/>
        </w:rPr>
        <w:t xml:space="preserve">Cálculo de castigo económico basado en reglas del sistema según parámetros de calidad.</w:t>
      </w:r>
    </w:p>
    <w:p>
      <w:pPr>
        <w:pStyle w:val="ListParagraph"/>
        <w:numPr>
          <w:ilvl w:val="0"/>
          <w:numId w:val="2"/>
        </w:numPr>
        <w:spacing w:after="40" w:before="40"/>
      </w:pPr>
      <w:r>
        <w:rPr>
          <w:rFonts w:ascii="Arial" w:cs="Arial" w:eastAsia="Arial" w:hAnsi="Arial"/>
          <w:color w:val="1F2A24"/>
          <w:sz w:val="22"/>
          <w:szCs w:val="22"/>
        </w:rPr>
        <w:t xml:space="preserve">Generación de reporte final de recepción exportable.</w:t>
      </w:r>
    </w:p>
    <w:p>
      <w:pPr>
        <w:pStyle w:val="Heading2"/>
        <w:spacing w:after="80" w:before="240"/>
      </w:pPr>
      <w:r>
        <w:rPr>
          <w:rFonts w:ascii="Arial" w:cs="Arial" w:eastAsia="Arial" w:hAnsi="Arial"/>
          <w:b/>
          <w:bCs/>
          <w:color w:val="008C45"/>
          <w:sz w:val="26"/>
          <w:szCs w:val="26"/>
        </w:rPr>
        <w:t xml:space="preserve">6.4 Flujo Principal del Sistema (Demo)</w:t>
      </w:r>
    </w:p>
    <w:p>
      <w:pPr>
        <w:spacing w:after="80" w:before="80"/>
      </w:pPr>
      <w:r>
        <w:rPr>
          <w:rFonts w:ascii="Courier New" w:cs="Courier New" w:eastAsia="Courier New" w:hAnsi="Courier New"/>
          <w:color w:val="064E2E"/>
          <w:sz w:val="18"/>
          <w:szCs w:val="18"/>
        </w:rPr>
        <w:t xml:space="preserve">Pantalla inicial
    |
    v
Modo Acopio: Nuevo ingreso de camión/lote
    |
    v
Datos de recepción (productor, zona, peso, hora)
    |
    v
Humedad medida con equipo externo (ingreso manual)
    |
    v
Carga de muestra visual (5+ imágenes)
    |
    v
Análisis IA con Gemini API
    |
    v
Resultado de calidad visual (% grano sano, partido, manchado, impurezas, moho)
    |
    v
Cálculo de castigo económico
    |
    v
Reporte final de recepción</w:t>
      </w:r>
    </w:p>
    <w:p>
      <w:r>
        <w:br w:type="page"/>
      </w:r>
    </w:p>
    <w:p>
      <w:pPr>
        <w:pStyle w:val="Heading1"/>
        <w:spacing w:after="120" w:before="360"/>
      </w:pPr>
      <w:r>
        <w:rPr>
          <w:rFonts w:ascii="Arial" w:cs="Arial" w:eastAsia="Arial" w:hAnsi="Arial"/>
          <w:b/>
          <w:bCs/>
          <w:color w:val="064E2E"/>
          <w:sz w:val="32"/>
          <w:szCs w:val="32"/>
        </w:rPr>
        <w:t xml:space="preserve">7. Alcance del MVP</w:t>
      </w:r>
    </w:p>
    <w:p>
      <w:pPr>
        <w:pStyle w:val="Heading2"/>
        <w:spacing w:after="80" w:before="240"/>
      </w:pPr>
      <w:r>
        <w:rPr>
          <w:rFonts w:ascii="Arial" w:cs="Arial" w:eastAsia="Arial" w:hAnsi="Arial"/>
          <w:b/>
          <w:bCs/>
          <w:color w:val="008C45"/>
          <w:sz w:val="26"/>
          <w:szCs w:val="26"/>
        </w:rPr>
        <w:t xml:space="preserve">7.1 Lo que SÍ incluye el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Módulo</w:t>
            </w:r>
          </w:p>
        </w:tc>
        <w:tc>
          <w:tcPr>
            <w:tcW w:type="dxa" w:w="120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Incluido</w:t>
            </w:r>
          </w:p>
        </w:tc>
        <w:tc>
          <w:tcPr>
            <w:tcW w:type="dxa" w:w="496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32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Pantalla inicial con selección de modo</w:t>
            </w:r>
          </w:p>
        </w:tc>
        <w:tc>
          <w:tcPr>
            <w:tcW w:type="dxa" w:w="12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Sí</w:t>
            </w:r>
          </w:p>
        </w:tc>
        <w:tc>
          <w:tcPr>
            <w:tcW w:type="dxa" w:w="49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Cards Modo Campo y Modo Acopio</w:t>
            </w:r>
          </w:p>
        </w:tc>
      </w:tr>
      <w:tr>
        <w:tc>
          <w:tcPr>
            <w:tcW w:type="dxa" w:w="32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Modo Campo completo</w:t>
            </w:r>
          </w:p>
        </w:tc>
        <w:tc>
          <w:tcPr>
            <w:tcW w:type="dxa" w:w="12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Sí</w:t>
            </w:r>
          </w:p>
        </w:tc>
        <w:tc>
          <w:tcPr>
            <w:tcW w:type="dxa" w:w="49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Campaña, costos, insumos, fumigaciones, bitácora, rentabilidad</w:t>
            </w:r>
          </w:p>
        </w:tc>
      </w:tr>
      <w:tr>
        <w:tc>
          <w:tcPr>
            <w:tcW w:type="dxa" w:w="32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Offline parcial (Modo Campo)</w:t>
            </w:r>
          </w:p>
        </w:tc>
        <w:tc>
          <w:tcPr>
            <w:tcW w:type="dxa" w:w="12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Sí</w:t>
            </w:r>
          </w:p>
        </w:tc>
        <w:tc>
          <w:tcPr>
            <w:tcW w:type="dxa" w:w="49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LocalStorage / IndexedDB con sincronización posterior</w:t>
            </w:r>
          </w:p>
        </w:tc>
      </w:tr>
      <w:tr>
        <w:tc>
          <w:tcPr>
            <w:tcW w:type="dxa" w:w="32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Noticias / precio de soya</w:t>
            </w:r>
          </w:p>
        </w:tc>
        <w:tc>
          <w:tcPr>
            <w:tcW w:type="dxa" w:w="12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Sí</w:t>
            </w:r>
          </w:p>
        </w:tc>
        <w:tc>
          <w:tcPr>
            <w:tcW w:type="dxa" w:w="49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Tarjetas precargadas o ingreso manual para demo</w:t>
            </w:r>
          </w:p>
        </w:tc>
      </w:tr>
      <w:tr>
        <w:tc>
          <w:tcPr>
            <w:tcW w:type="dxa" w:w="32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Modo Acopio completo</w:t>
            </w:r>
          </w:p>
        </w:tc>
        <w:tc>
          <w:tcPr>
            <w:tcW w:type="dxa" w:w="12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Sí</w:t>
            </w:r>
          </w:p>
        </w:tc>
        <w:tc>
          <w:tcPr>
            <w:tcW w:type="dxa" w:w="49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Ingreso de camión, humedad, muestra, IA, castigo, reporte</w:t>
            </w:r>
          </w:p>
        </w:tc>
      </w:tr>
      <w:tr>
        <w:tc>
          <w:tcPr>
            <w:tcW w:type="dxa" w:w="32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Análisis IA visual (Gemini API)</w:t>
            </w:r>
          </w:p>
        </w:tc>
        <w:tc>
          <w:tcPr>
            <w:tcW w:type="dxa" w:w="12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Sí</w:t>
            </w:r>
          </w:p>
        </w:tc>
        <w:tc>
          <w:tcPr>
            <w:tcW w:type="dxa" w:w="49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Clasificación visual de muestra de grano</w:t>
            </w:r>
          </w:p>
        </w:tc>
      </w:tr>
      <w:tr>
        <w:tc>
          <w:tcPr>
            <w:tcW w:type="dxa" w:w="32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Cálculo de castigo económico</w:t>
            </w:r>
          </w:p>
        </w:tc>
        <w:tc>
          <w:tcPr>
            <w:tcW w:type="dxa" w:w="12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Sí</w:t>
            </w:r>
          </w:p>
        </w:tc>
        <w:tc>
          <w:tcPr>
            <w:tcW w:type="dxa" w:w="49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Basado en reglas del sistema, no generado por IA</w:t>
            </w:r>
          </w:p>
        </w:tc>
      </w:tr>
      <w:tr>
        <w:tc>
          <w:tcPr>
            <w:tcW w:type="dxa" w:w="32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Reporte final de recepción</w:t>
            </w:r>
          </w:p>
        </w:tc>
        <w:tc>
          <w:tcPr>
            <w:tcW w:type="dxa" w:w="12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Sí</w:t>
            </w:r>
          </w:p>
        </w:tc>
        <w:tc>
          <w:tcPr>
            <w:tcW w:type="dxa" w:w="49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Vista exportable con resultado de recepción</w:t>
            </w:r>
          </w:p>
        </w:tc>
      </w:tr>
      <w:tr>
        <w:tc>
          <w:tcPr>
            <w:tcW w:type="dxa" w:w="32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Datos demo/mock</w:t>
            </w:r>
          </w:p>
        </w:tc>
        <w:tc>
          <w:tcPr>
            <w:tcW w:type="dxa" w:w="12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Sí</w:t>
            </w:r>
          </w:p>
        </w:tc>
        <w:tc>
          <w:tcPr>
            <w:tcW w:type="dxa" w:w="49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Para garantizar estabilidad en presentación</w:t>
            </w:r>
          </w:p>
        </w:tc>
      </w:tr>
    </w:tbl>
    <w:p>
      <w:pPr>
        <w:spacing w:after="0" w:before="0"/>
      </w:pPr>
      <w:r>
        <w:t xml:space="preserve"/>
      </w:r>
    </w:p>
    <w:p>
      <w:pPr>
        <w:pStyle w:val="Heading2"/>
        <w:spacing w:after="80" w:before="240"/>
      </w:pPr>
      <w:r>
        <w:rPr>
          <w:rFonts w:ascii="Arial" w:cs="Arial" w:eastAsia="Arial" w:hAnsi="Arial"/>
          <w:b/>
          <w:bCs/>
          <w:color w:val="008C45"/>
          <w:sz w:val="26"/>
          <w:szCs w:val="26"/>
        </w:rPr>
        <w:t xml:space="preserve">7.2 Lo que NO incluye el MVP</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760"/>
      </w:tblGrid>
      <w:tr>
        <w:trPr>
          <w:tblHeader/>
        </w:trPr>
        <w:tc>
          <w:tcPr>
            <w:tcW w:type="dxa" w:w="280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Elemento excluido</w:t>
            </w:r>
          </w:p>
        </w:tc>
        <w:tc>
          <w:tcPr>
            <w:tcW w:type="dxa" w:w="280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Motivo</w:t>
            </w:r>
          </w:p>
        </w:tc>
        <w:tc>
          <w:tcPr>
            <w:tcW w:type="dxa" w:w="276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Alternativa o fase futura</w:t>
            </w:r>
          </w:p>
        </w:tc>
      </w:tr>
      <w:tr>
        <w:tc>
          <w:tcPr>
            <w:tcW w:type="dxa" w:w="28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Cálculo de humedad desde imagen</w:t>
            </w:r>
          </w:p>
        </w:tc>
        <w:tc>
          <w:tcPr>
            <w:tcW w:type="dxa" w:w="28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No es técnicamente confiable</w:t>
            </w:r>
          </w:p>
        </w:tc>
        <w:tc>
          <w:tcPr>
            <w:tcW w:type="dxa" w:w="27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La humedad se ingresa manualmente desde equipo externo</w:t>
            </w:r>
          </w:p>
        </w:tc>
      </w:tr>
      <w:tr>
        <w:tc>
          <w:tcPr>
            <w:tcW w:type="dxa" w:w="28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Hardware físico (Arduino, PLC, sensores)</w:t>
            </w:r>
          </w:p>
        </w:tc>
        <w:tc>
          <w:tcPr>
            <w:tcW w:type="dxa" w:w="28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Riesgo técnico alto y tiempo de desarrollo insuficiente</w:t>
            </w:r>
          </w:p>
        </w:tc>
        <w:tc>
          <w:tcPr>
            <w:tcW w:type="dxa" w:w="27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Integración futura en versión industrial</w:t>
            </w:r>
          </w:p>
        </w:tc>
      </w:tr>
      <w:tr>
        <w:tc>
          <w:tcPr>
            <w:tcW w:type="dxa" w:w="28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Brazo mecánico o separador físico</w:t>
            </w:r>
          </w:p>
        </w:tc>
        <w:tc>
          <w:tcPr>
            <w:tcW w:type="dxa" w:w="28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Complejidad de hardware fuera del alcance del hackathon</w:t>
            </w:r>
          </w:p>
        </w:tc>
        <w:tc>
          <w:tcPr>
            <w:tcW w:type="dxa" w:w="27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Fase posterior de prototipo físico</w:t>
            </w:r>
          </w:p>
        </w:tc>
      </w:tr>
      <w:tr>
        <w:tc>
          <w:tcPr>
            <w:tcW w:type="dxa" w:w="28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Recomendación de dosis exacta de agroquímicos</w:t>
            </w:r>
          </w:p>
        </w:tc>
        <w:tc>
          <w:tcPr>
            <w:tcW w:type="dxa" w:w="28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Requiere validación agronómica profesional y regulatoria</w:t>
            </w:r>
          </w:p>
        </w:tc>
        <w:tc>
          <w:tcPr>
            <w:tcW w:type="dxa" w:w="27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Módulo de apoyo decisional con validación técnica</w:t>
            </w:r>
          </w:p>
        </w:tc>
      </w:tr>
      <w:tr>
        <w:tc>
          <w:tcPr>
            <w:tcW w:type="dxa" w:w="28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Predicción climática completa</w:t>
            </w:r>
          </w:p>
        </w:tc>
        <w:tc>
          <w:tcPr>
            <w:tcW w:type="dxa" w:w="28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Depende de datos externos y conectividad en tiempo real</w:t>
            </w:r>
          </w:p>
        </w:tc>
        <w:tc>
          <w:tcPr>
            <w:tcW w:type="dxa" w:w="27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Integración con API climática en versión posterior</w:t>
            </w:r>
          </w:p>
        </w:tc>
      </w:tr>
    </w:tbl>
    <w:p>
      <w:pPr>
        <w:spacing w:after="0" w:before="0"/>
      </w:pPr>
      <w:r>
        <w:t xml:space="preserve"/>
      </w:r>
    </w:p>
    <w:p>
      <w:pPr>
        <w:spacing w:after="120" w:before="60"/>
      </w:pPr>
      <w:r>
        <w:rPr>
          <w:rFonts w:ascii="Arial" w:cs="Arial" w:eastAsia="Arial" w:hAnsi="Arial"/>
          <w:color w:val="1F2A24"/>
          <w:sz w:val="22"/>
          <w:szCs w:val="22"/>
        </w:rPr>
        <w:t xml:space="preserve">El MVP valida el núcleo digital e inteligente de la solución. No reemplaza al agrónomo, al laboratorio de calidad ni al control oficial. Funciona como herramienta de apoyo, trazabilidad y prototipo de validación.</w:t>
      </w:r>
    </w:p>
    <w:p>
      <w:r>
        <w:br w:type="page"/>
      </w:r>
    </w:p>
    <w:p>
      <w:pPr>
        <w:pStyle w:val="Heading1"/>
        <w:spacing w:after="120" w:before="360"/>
      </w:pPr>
      <w:r>
        <w:rPr>
          <w:rFonts w:ascii="Arial" w:cs="Arial" w:eastAsia="Arial" w:hAnsi="Arial"/>
          <w:b/>
          <w:bCs/>
          <w:color w:val="064E2E"/>
          <w:sz w:val="32"/>
          <w:szCs w:val="32"/>
        </w:rPr>
        <w:t xml:space="preserve">8. Diseño Funcional por Módulos</w:t>
      </w:r>
    </w:p>
    <w:p>
      <w:pPr>
        <w:pStyle w:val="Heading2"/>
        <w:spacing w:after="80" w:before="240"/>
      </w:pPr>
      <w:r>
        <w:rPr>
          <w:rFonts w:ascii="Arial" w:cs="Arial" w:eastAsia="Arial" w:hAnsi="Arial"/>
          <w:b/>
          <w:bCs/>
          <w:color w:val="008C45"/>
          <w:sz w:val="26"/>
          <w:szCs w:val="26"/>
        </w:rPr>
        <w:t xml:space="preserve">8.1 Módulo de Campaña (Modo Campo)</w:t>
      </w:r>
    </w:p>
    <w:p>
      <w:pPr>
        <w:spacing w:after="120" w:before="60"/>
      </w:pPr>
      <w:r>
        <w:rPr>
          <w:rFonts w:ascii="Arial" w:cs="Arial" w:eastAsia="Arial" w:hAnsi="Arial"/>
          <w:color w:val="1F2A24"/>
          <w:sz w:val="22"/>
          <w:szCs w:val="22"/>
        </w:rPr>
        <w:t xml:space="preserve">El módulo de campaña es el punto de entrada del agricultor. Permite crear una o más campañas activas, registrar datos base (zona, hectáreas, tipo de suelo, variedad de semilla, fecha de siembra) y gestionar el historial de campañas anteriores.</w:t>
      </w:r>
    </w:p>
    <w:p>
      <w:pPr>
        <w:pStyle w:val="Heading2"/>
        <w:spacing w:after="80" w:before="240"/>
      </w:pPr>
      <w:r>
        <w:rPr>
          <w:rFonts w:ascii="Arial" w:cs="Arial" w:eastAsia="Arial" w:hAnsi="Arial"/>
          <w:b/>
          <w:bCs/>
          <w:color w:val="008C45"/>
          <w:sz w:val="26"/>
          <w:szCs w:val="26"/>
        </w:rPr>
        <w:t xml:space="preserve">8.2 Módulo de Costos e Insumos</w:t>
      </w:r>
    </w:p>
    <w:p>
      <w:pPr>
        <w:spacing w:after="120" w:before="60"/>
      </w:pPr>
      <w:r>
        <w:rPr>
          <w:rFonts w:ascii="Arial" w:cs="Arial" w:eastAsia="Arial" w:hAnsi="Arial"/>
          <w:color w:val="1F2A24"/>
          <w:sz w:val="22"/>
          <w:szCs w:val="22"/>
        </w:rPr>
        <w:t xml:space="preserve">Permite el registro detallado de: semilla (cantidad y costo), abonos (tipo, dosis, costo), herbicidas, insecticidas, fungicidas, fumigaciones (fecha, producto, hectáreas tratadas), maquinaria, diésel, transporte y mano de obra. Calcula el costo total y el costo por hectárea automáticamente.</w:t>
      </w:r>
    </w:p>
    <w:p>
      <w:pPr>
        <w:pStyle w:val="Heading2"/>
        <w:spacing w:after="80" w:before="240"/>
      </w:pPr>
      <w:r>
        <w:rPr>
          <w:rFonts w:ascii="Arial" w:cs="Arial" w:eastAsia="Arial" w:hAnsi="Arial"/>
          <w:b/>
          <w:bCs/>
          <w:color w:val="008C45"/>
          <w:sz w:val="26"/>
          <w:szCs w:val="26"/>
        </w:rPr>
        <w:t xml:space="preserve">8.3 Módulo de Rentabilidad</w:t>
      </w:r>
    </w:p>
    <w:p>
      <w:pPr>
        <w:spacing w:after="120" w:before="60"/>
      </w:pPr>
      <w:r>
        <w:rPr>
          <w:rFonts w:ascii="Arial" w:cs="Arial" w:eastAsia="Arial" w:hAnsi="Arial"/>
          <w:color w:val="1F2A24"/>
          <w:sz w:val="22"/>
          <w:szCs w:val="22"/>
        </w:rPr>
        <w:t xml:space="preserve">Con base en los costos registrados y los parámetros de producción estimada (qq/ha y precio de mercado), calcula: ingreso esperado total, ganancia o pérdida estimada, y punto de equilibrio en quintales y precio mínimo de venta.</w:t>
      </w:r>
    </w:p>
    <w:p>
      <w:pPr>
        <w:pStyle w:val="Heading2"/>
        <w:spacing w:after="80" w:before="240"/>
      </w:pPr>
      <w:r>
        <w:rPr>
          <w:rFonts w:ascii="Arial" w:cs="Arial" w:eastAsia="Arial" w:hAnsi="Arial"/>
          <w:b/>
          <w:bCs/>
          <w:color w:val="008C45"/>
          <w:sz w:val="26"/>
          <w:szCs w:val="26"/>
        </w:rPr>
        <w:t xml:space="preserve">8.4 Módulo de Ingreso de Lote (Modo Acopio)</w:t>
      </w:r>
    </w:p>
    <w:p>
      <w:pPr>
        <w:spacing w:after="120" w:before="60"/>
      </w:pPr>
      <w:r>
        <w:rPr>
          <w:rFonts w:ascii="Arial" w:cs="Arial" w:eastAsia="Arial" w:hAnsi="Arial"/>
          <w:color w:val="1F2A24"/>
          <w:sz w:val="22"/>
          <w:szCs w:val="22"/>
        </w:rPr>
        <w:t xml:space="preserve">Punto de entrada del operador de silo. Registra: nombre del productor o transportista, identificador del camión/lote (generado automáticamente, ej: LOT-2026-XXXX), zona de origen, peso bruto declarado, fecha y hora de ingreso.</w:t>
      </w:r>
    </w:p>
    <w:p>
      <w:pPr>
        <w:pStyle w:val="Heading2"/>
        <w:spacing w:after="80" w:before="240"/>
      </w:pPr>
      <w:r>
        <w:rPr>
          <w:rFonts w:ascii="Arial" w:cs="Arial" w:eastAsia="Arial" w:hAnsi="Arial"/>
          <w:b/>
          <w:bCs/>
          <w:color w:val="008C45"/>
          <w:sz w:val="26"/>
          <w:szCs w:val="26"/>
        </w:rPr>
        <w:t xml:space="preserve">8.5 Módulo de Análisis de Calidad con IA</w:t>
      </w:r>
    </w:p>
    <w:p>
      <w:pPr>
        <w:spacing w:after="120" w:before="60"/>
      </w:pPr>
      <w:r>
        <w:rPr>
          <w:rFonts w:ascii="Arial" w:cs="Arial" w:eastAsia="Arial" w:hAnsi="Arial"/>
          <w:color w:val="1F2A24"/>
          <w:sz w:val="22"/>
          <w:szCs w:val="22"/>
        </w:rPr>
        <w:t xml:space="preserve">El operador carga entre 5 y 10 fotografías de la muestra de soya sobre fondo uniforme con buena iluminación. El sistema envía las imágenes a Gemini API con un prompt estructurado que solicita clasificación visual: porcentaje estimado de grano sano, partido, manchado, impurezas visibles y posible moho. El resultado se presenta como informe visual con nivel de calidad (A, B, C o R) y nivel de riesgo (Bajo, Medio, Alto, Crítico).</w:t>
      </w:r>
    </w:p>
    <w:p>
      <w:pPr>
        <w:spacing w:after="120" w:before="60"/>
      </w:pPr>
      <w:r>
        <w:rPr>
          <w:rFonts w:ascii="Arial" w:cs="Arial" w:eastAsia="Arial" w:hAnsi="Arial"/>
          <w:color w:val="1F2A24"/>
          <w:sz w:val="22"/>
          <w:szCs w:val="22"/>
        </w:rPr>
        <w:t xml:space="preserve">Aviso técnico: El análisis de IA es un apoyo visual a la decisión. No reemplaza el análisis de laboratorio certificado ni los estándares oficiales de SENASAG o el sistema de calidad de la industria. La humedad es ingresada manualmente y no inferida desde imagen.</w:t>
      </w:r>
    </w:p>
    <w:p>
      <w:pPr>
        <w:pStyle w:val="Heading2"/>
        <w:spacing w:after="80" w:before="240"/>
      </w:pPr>
      <w:r>
        <w:rPr>
          <w:rFonts w:ascii="Arial" w:cs="Arial" w:eastAsia="Arial" w:hAnsi="Arial"/>
          <w:b/>
          <w:bCs/>
          <w:color w:val="008C45"/>
          <w:sz w:val="26"/>
          <w:szCs w:val="26"/>
        </w:rPr>
        <w:t xml:space="preserve">8.6 Módulo de Castigo Económico</w:t>
      </w:r>
    </w:p>
    <w:p>
      <w:pPr>
        <w:spacing w:after="120" w:before="60"/>
      </w:pPr>
      <w:r>
        <w:rPr>
          <w:rFonts w:ascii="Arial" w:cs="Arial" w:eastAsia="Arial" w:hAnsi="Arial"/>
          <w:color w:val="1F2A24"/>
          <w:sz w:val="22"/>
          <w:szCs w:val="22"/>
        </w:rPr>
        <w:t xml:space="preserve">Con la humedad medida, el nivel de impurezas y los resultados de calidad visual, el sistema aplica reglas configuradas del sector (escalas de castigo por humedad sobre umbral, descuento por impurezas) para calcular el castigo total en porcentaje y el precio final de liquidación estimado por quintal.</w:t>
      </w:r>
    </w:p>
    <w:p>
      <w:r>
        <w:br w:type="page"/>
      </w:r>
    </w:p>
    <w:p>
      <w:pPr>
        <w:pStyle w:val="Heading1"/>
        <w:spacing w:after="120" w:before="360"/>
      </w:pPr>
      <w:r>
        <w:rPr>
          <w:rFonts w:ascii="Arial" w:cs="Arial" w:eastAsia="Arial" w:hAnsi="Arial"/>
          <w:b/>
          <w:bCs/>
          <w:color w:val="064E2E"/>
          <w:sz w:val="32"/>
          <w:szCs w:val="32"/>
        </w:rPr>
        <w:t xml:space="preserve">9. Flujo Principal del Sistema</w:t>
      </w:r>
    </w:p>
    <w:p>
      <w:pPr>
        <w:pStyle w:val="Heading2"/>
        <w:spacing w:after="80" w:before="240"/>
      </w:pPr>
      <w:r>
        <w:rPr>
          <w:rFonts w:ascii="Arial" w:cs="Arial" w:eastAsia="Arial" w:hAnsi="Arial"/>
          <w:b/>
          <w:bCs/>
          <w:color w:val="008C45"/>
          <w:sz w:val="26"/>
          <w:szCs w:val="26"/>
        </w:rPr>
        <w:t xml:space="preserve">9.1 Diagrama de Flujo — Modo Acopio</w:t>
      </w:r>
    </w:p>
    <w:p>
      <w:pPr>
        <w:spacing w:after="80" w:before="80"/>
      </w:pPr>
      <w:r>
        <w:rPr>
          <w:rFonts w:ascii="Courier New" w:cs="Courier New" w:eastAsia="Courier New" w:hAnsi="Courier New"/>
          <w:color w:val="064E2E"/>
          <w:sz w:val="18"/>
          <w:szCs w:val="18"/>
        </w:rPr>
        <w:t xml:space="preserve">+—————————————————————————+
|   PANTALLA DE SELECCIÓN  |
+—————————————————————————+
           |
   [Modo Acopio]
           |
           v
+—————————————————————————+
|   Dashboard industrial   |
|   [ Nuevo ingreso ]      |
+—————————————————————————+
           |
           v
+—————————————————————————+
|   Datos de recepción     |
|   Productor, peso, zona  |
|   Fecha/hora ingreso     |
+—————————————————————————+
           |
           v
+—————————————————————————+
|   Humedad medida         |
|   (equipo externo)       |
|   Ingreso MANUAL         |
+—————————————————————————+
           |
           v
+—————————————————————————+
|   Carga de muestra       |
|   visual (5+ fotos)      |
+—————————————————————————+
           |
           v
+—————————————————————————+
|   Análisis IA            |
|   Gemini API             |
+—————————————————————————+
           |
           v
+—————————————————————————+
|   Resultado de calidad   |
|   % sano, partido, moho  |
|   Calidad: A/B/C/R       |
+—————————————————————————+
           |
           v
+—————————————————————————+
|   Cálculo de castigo     |
|   (reglas del sistema)   |
+—————————————————————————+
           |
           v
+—————————————————————————+
|   REPORTE FINAL          |
|   PDF / vista exportable |
+—————————————————————————+</w:t>
      </w:r>
    </w:p>
    <w:p>
      <w:r>
        <w:br w:type="page"/>
      </w:r>
    </w:p>
    <w:p>
      <w:pPr>
        <w:pStyle w:val="Heading1"/>
        <w:spacing w:after="120" w:before="360"/>
      </w:pPr>
      <w:r>
        <w:rPr>
          <w:rFonts w:ascii="Arial" w:cs="Arial" w:eastAsia="Arial" w:hAnsi="Arial"/>
          <w:b/>
          <w:bCs/>
          <w:color w:val="064E2E"/>
          <w:sz w:val="32"/>
          <w:szCs w:val="32"/>
        </w:rPr>
        <w:t xml:space="preserve">10. Arquitectura Tecnológica</w:t>
      </w:r>
    </w:p>
    <w:p>
      <w:pPr>
        <w:pStyle w:val="Heading2"/>
        <w:spacing w:after="80" w:before="240"/>
      </w:pPr>
      <w:r>
        <w:rPr>
          <w:rFonts w:ascii="Arial" w:cs="Arial" w:eastAsia="Arial" w:hAnsi="Arial"/>
          <w:b/>
          <w:bCs/>
          <w:color w:val="008C45"/>
          <w:sz w:val="26"/>
          <w:szCs w:val="26"/>
        </w:rPr>
        <w:t xml:space="preserve">10.1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rPr>
          <w:tblHeader/>
        </w:trPr>
        <w:tc>
          <w:tcPr>
            <w:tcW w:type="dxa" w:w="180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250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506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Justificación</w:t>
            </w:r>
          </w:p>
        </w:tc>
      </w:tr>
      <w:tr>
        <w:tc>
          <w:tcPr>
            <w:tcW w:type="dxa" w:w="18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Frontend</w:t>
            </w:r>
          </w:p>
        </w:tc>
        <w:tc>
          <w:tcPr>
            <w:tcW w:type="dxa" w:w="2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React + Vite + TypeScript</w:t>
            </w:r>
          </w:p>
        </w:tc>
        <w:tc>
          <w:tcPr>
            <w:tcW w:type="dxa" w:w="50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Ecosistema moderno, tipado estático, hot reload rápido para hackathon</w:t>
            </w:r>
          </w:p>
        </w:tc>
      </w:tr>
      <w:tr>
        <w:tc>
          <w:tcPr>
            <w:tcW w:type="dxa" w:w="18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Estilos</w:t>
            </w:r>
          </w:p>
        </w:tc>
        <w:tc>
          <w:tcPr>
            <w:tcW w:type="dxa" w:w="25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Tailwind CSS + shadcn/ui (inspiración)</w:t>
            </w:r>
          </w:p>
        </w:tc>
        <w:tc>
          <w:tcPr>
            <w:tcW w:type="dxa" w:w="50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Utilidades CSS rápidas, componentes accesibles y diseño institucional</w:t>
            </w:r>
          </w:p>
        </w:tc>
      </w:tr>
      <w:tr>
        <w:tc>
          <w:tcPr>
            <w:tcW w:type="dxa" w:w="18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PWA</w:t>
            </w:r>
          </w:p>
        </w:tc>
        <w:tc>
          <w:tcPr>
            <w:tcW w:type="dxa" w:w="2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Vite PWA Plugin + Service Workers</w:t>
            </w:r>
          </w:p>
        </w:tc>
        <w:tc>
          <w:tcPr>
            <w:tcW w:type="dxa" w:w="50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Soporte offline parcial para Modo Campo en zonas con baja conectividad</w:t>
            </w:r>
          </w:p>
        </w:tc>
      </w:tr>
      <w:tr>
        <w:tc>
          <w:tcPr>
            <w:tcW w:type="dxa" w:w="18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Base de datos</w:t>
            </w:r>
          </w:p>
        </w:tc>
        <w:tc>
          <w:tcPr>
            <w:tcW w:type="dxa" w:w="25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Cloud Firestore (plan Spark)</w:t>
            </w:r>
          </w:p>
        </w:tc>
        <w:tc>
          <w:tcPr>
            <w:tcW w:type="dxa" w:w="50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NoSQL en tiempo real, sin costo en nivel gratuito, sincronización automática</w:t>
            </w:r>
          </w:p>
        </w:tc>
      </w:tr>
      <w:tr>
        <w:tc>
          <w:tcPr>
            <w:tcW w:type="dxa" w:w="18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Autenticación</w:t>
            </w:r>
          </w:p>
        </w:tc>
        <w:tc>
          <w:tcPr>
            <w:tcW w:type="dxa" w:w="2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Firebase Auth (Google / modo demo)</w:t>
            </w:r>
          </w:p>
        </w:tc>
        <w:tc>
          <w:tcPr>
            <w:tcW w:type="dxa" w:w="50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Login con Google o modo demo sin fricción para presentación</w:t>
            </w:r>
          </w:p>
        </w:tc>
      </w:tr>
      <w:tr>
        <w:tc>
          <w:tcPr>
            <w:tcW w:type="dxa" w:w="18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Almacenamiento imágenes</w:t>
            </w:r>
          </w:p>
        </w:tc>
        <w:tc>
          <w:tcPr>
            <w:tcW w:type="dxa" w:w="25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Cloud Storage for Firebase (plan Spark)</w:t>
            </w:r>
          </w:p>
        </w:tc>
        <w:tc>
          <w:tcPr>
            <w:tcW w:type="dxa" w:w="50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Almacenamiento de muestras visuales dentro del límite gratuito</w:t>
            </w:r>
          </w:p>
        </w:tc>
      </w:tr>
      <w:tr>
        <w:tc>
          <w:tcPr>
            <w:tcW w:type="dxa" w:w="18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IA / Visión artificial</w:t>
            </w:r>
          </w:p>
        </w:tc>
        <w:tc>
          <w:tcPr>
            <w:tcW w:type="dxa" w:w="2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Gemini Developer API (free tier)</w:t>
            </w:r>
          </w:p>
        </w:tc>
        <w:tc>
          <w:tcPr>
            <w:tcW w:type="dxa" w:w="50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Análisis visual multimodal de imágenes de granos de soya</w:t>
            </w:r>
          </w:p>
        </w:tc>
      </w:tr>
      <w:tr>
        <w:tc>
          <w:tcPr>
            <w:tcW w:type="dxa" w:w="18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Hosting</w:t>
            </w:r>
          </w:p>
        </w:tc>
        <w:tc>
          <w:tcPr>
            <w:tcW w:type="dxa" w:w="25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Firebase Hosting (plan Spark)</w:t>
            </w:r>
          </w:p>
        </w:tc>
        <w:tc>
          <w:tcPr>
            <w:tcW w:type="dxa" w:w="50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Deploy instantáneo, CDN global, SSL automático, sin costo</w:t>
            </w:r>
          </w:p>
        </w:tc>
      </w:tr>
      <w:tr>
        <w:tc>
          <w:tcPr>
            <w:tcW w:type="dxa" w:w="18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Backend</w:t>
            </w:r>
          </w:p>
        </w:tc>
        <w:tc>
          <w:tcPr>
            <w:tcW w:type="dxa" w:w="2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Sin Cloud Functions en MVP</w:t>
            </w:r>
          </w:p>
        </w:tc>
        <w:tc>
          <w:tcPr>
            <w:tcW w:type="dxa" w:w="50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Se evita para no requerir plan Blaze; lógica en cliente y Firestore rules</w:t>
            </w:r>
          </w:p>
        </w:tc>
      </w:tr>
      <w:tr>
        <w:tc>
          <w:tcPr>
            <w:tcW w:type="dxa" w:w="18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Datos demo</w:t>
            </w:r>
          </w:p>
        </w:tc>
        <w:tc>
          <w:tcPr>
            <w:tcW w:type="dxa" w:w="25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JSON mock / datos precargados</w:t>
            </w:r>
          </w:p>
        </w:tc>
        <w:tc>
          <w:tcPr>
            <w:tcW w:type="dxa" w:w="50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Garantiza estabilidad del flujo de demo independientemente de red</w:t>
            </w:r>
          </w:p>
        </w:tc>
      </w:tr>
    </w:tbl>
    <w:p>
      <w:pPr>
        <w:spacing w:after="0" w:before="0"/>
      </w:pPr>
      <w:r>
        <w:t xml:space="preserve"/>
      </w:r>
    </w:p>
    <w:p>
      <w:pPr>
        <w:pStyle w:val="Heading2"/>
        <w:spacing w:after="80" w:before="240"/>
      </w:pPr>
      <w:r>
        <w:rPr>
          <w:rFonts w:ascii="Arial" w:cs="Arial" w:eastAsia="Arial" w:hAnsi="Arial"/>
          <w:b/>
          <w:bCs/>
          <w:color w:val="008C45"/>
          <w:sz w:val="26"/>
          <w:szCs w:val="26"/>
        </w:rPr>
        <w:t xml:space="preserve">10.2 Restricciones Técnicas del MVP</w:t>
      </w:r>
    </w:p>
    <w:p>
      <w:pPr>
        <w:pStyle w:val="ListParagraph"/>
        <w:numPr>
          <w:ilvl w:val="0"/>
          <w:numId w:val="2"/>
        </w:numPr>
        <w:spacing w:after="40" w:before="40"/>
      </w:pPr>
      <w:r>
        <w:rPr>
          <w:rFonts w:ascii="Arial" w:cs="Arial" w:eastAsia="Arial" w:hAnsi="Arial"/>
          <w:color w:val="1F2A24"/>
          <w:sz w:val="22"/>
          <w:szCs w:val="22"/>
        </w:rPr>
        <w:t xml:space="preserve">No se utilizan Cloud Functions para evitar la necesidad del plan Blaze (facturación).</w:t>
      </w:r>
    </w:p>
    <w:p>
      <w:pPr>
        <w:pStyle w:val="ListParagraph"/>
        <w:numPr>
          <w:ilvl w:val="0"/>
          <w:numId w:val="2"/>
        </w:numPr>
        <w:spacing w:after="40" w:before="40"/>
      </w:pPr>
      <w:r>
        <w:rPr>
          <w:rFonts w:ascii="Arial" w:cs="Arial" w:eastAsia="Arial" w:hAnsi="Arial"/>
          <w:color w:val="1F2A24"/>
          <w:sz w:val="22"/>
          <w:szCs w:val="22"/>
        </w:rPr>
        <w:t xml:space="preserve">La lógica de cálculo de castigo económico se ejecuta en el cliente con reglas configuradas.</w:t>
      </w:r>
    </w:p>
    <w:p>
      <w:pPr>
        <w:pStyle w:val="ListParagraph"/>
        <w:numPr>
          <w:ilvl w:val="0"/>
          <w:numId w:val="2"/>
        </w:numPr>
        <w:spacing w:after="40" w:before="40"/>
      </w:pPr>
      <w:r>
        <w:rPr>
          <w:rFonts w:ascii="Arial" w:cs="Arial" w:eastAsia="Arial" w:hAnsi="Arial"/>
          <w:color w:val="1F2A24"/>
          <w:sz w:val="22"/>
          <w:szCs w:val="22"/>
        </w:rPr>
        <w:t xml:space="preserve">El análisis de IA se realiza directamente desde el cliente hacia Gemini API con la clave en configuración segura.</w:t>
      </w:r>
    </w:p>
    <w:p>
      <w:pPr>
        <w:pStyle w:val="ListParagraph"/>
        <w:numPr>
          <w:ilvl w:val="0"/>
          <w:numId w:val="2"/>
        </w:numPr>
        <w:spacing w:after="40" w:before="40"/>
      </w:pPr>
      <w:r>
        <w:rPr>
          <w:rFonts w:ascii="Arial" w:cs="Arial" w:eastAsia="Arial" w:hAnsi="Arial"/>
          <w:color w:val="1F2A24"/>
          <w:sz w:val="22"/>
          <w:szCs w:val="22"/>
        </w:rPr>
        <w:t xml:space="preserve">El almacenamiento de imágenes usa Cloud Storage dentro de los límites del plan Spark gratuito.</w:t>
      </w:r>
    </w:p>
    <w:p>
      <w:pPr>
        <w:pStyle w:val="Heading2"/>
        <w:spacing w:after="80" w:before="240"/>
      </w:pPr>
      <w:r>
        <w:rPr>
          <w:rFonts w:ascii="Arial" w:cs="Arial" w:eastAsia="Arial" w:hAnsi="Arial"/>
          <w:b/>
          <w:bCs/>
          <w:color w:val="008C45"/>
          <w:sz w:val="26"/>
          <w:szCs w:val="26"/>
        </w:rPr>
        <w:t xml:space="preserve">10.3 Diagrama de Arquitectura</w:t>
      </w:r>
    </w:p>
    <w:p>
      <w:pPr>
        <w:spacing w:after="80" w:before="80"/>
      </w:pPr>
      <w:r>
        <w:rPr>
          <w:rFonts w:ascii="Courier New" w:cs="Courier New" w:eastAsia="Courier New" w:hAnsi="Courier New"/>
          <w:color w:val="064E2E"/>
          <w:sz w:val="18"/>
          <w:szCs w:val="18"/>
        </w:rPr>
        <w:t xml:space="preserve">[Navegador / PWA]
React + TypeScript + Tailwind
       |
       |—— Firebase Auth ——&gt; [Google OAuth]
       |
       |—— Firestore ———————&gt; [Cloud Firestore DB]
       |                      Campañas, lotes, costos
       |
       |—— Storage —————————&gt; [Cloud Storage]
       |                      Imágenes de muestra
       |
       |—— Gemini API ———————&gt; [Google AI / Gemini]
                               Análisis visual de granos
[Firebase Hosting] &lt;—— Deploy automático desde repositorio</w:t>
      </w:r>
    </w:p>
    <w:p>
      <w:r>
        <w:br w:type="page"/>
      </w:r>
    </w:p>
    <w:p>
      <w:pPr>
        <w:pStyle w:val="Heading1"/>
        <w:spacing w:after="120" w:before="360"/>
      </w:pPr>
      <w:r>
        <w:rPr>
          <w:rFonts w:ascii="Arial" w:cs="Arial" w:eastAsia="Arial" w:hAnsi="Arial"/>
          <w:b/>
          <w:bCs/>
          <w:color w:val="064E2E"/>
          <w:sz w:val="32"/>
          <w:szCs w:val="32"/>
        </w:rPr>
        <w:t xml:space="preserve">11. Aplicación de Inteligencia Artificial</w:t>
      </w:r>
    </w:p>
    <w:p>
      <w:pPr>
        <w:pStyle w:val="Heading2"/>
        <w:spacing w:after="80" w:before="240"/>
      </w:pPr>
      <w:r>
        <w:rPr>
          <w:rFonts w:ascii="Arial" w:cs="Arial" w:eastAsia="Arial" w:hAnsi="Arial"/>
          <w:b/>
          <w:bCs/>
          <w:color w:val="008C45"/>
          <w:sz w:val="26"/>
          <w:szCs w:val="26"/>
        </w:rPr>
        <w:t xml:space="preserve">11.1 Rol de la IA en AgroSoya</w:t>
      </w:r>
    </w:p>
    <w:p>
      <w:pPr>
        <w:spacing w:after="120" w:before="60"/>
      </w:pPr>
      <w:r>
        <w:rPr>
          <w:rFonts w:ascii="Arial" w:cs="Arial" w:eastAsia="Arial" w:hAnsi="Arial"/>
          <w:color w:val="1F2A24"/>
          <w:sz w:val="22"/>
          <w:szCs w:val="22"/>
        </w:rPr>
        <w:t xml:space="preserve">La inteligencia artificial en AgroSoya cumple un rol central y funcional: el análisis visual de muestras de soya en el Modo Acopio. No es un adorno ni una capa decorativa; es el núcleo diferenciador de la solución y el principal aporte tecnológico del proyecto.</w:t>
      </w:r>
    </w:p>
    <w:p>
      <w:pPr>
        <w:pStyle w:val="Heading2"/>
        <w:spacing w:after="80" w:before="240"/>
      </w:pPr>
      <w:r>
        <w:rPr>
          <w:rFonts w:ascii="Arial" w:cs="Arial" w:eastAsia="Arial" w:hAnsi="Arial"/>
          <w:b/>
          <w:bCs/>
          <w:color w:val="008C45"/>
          <w:sz w:val="26"/>
          <w:szCs w:val="26"/>
        </w:rPr>
        <w:t xml:space="preserve">11.2 Gemini API: Análisis Visual Multimodal</w:t>
      </w:r>
    </w:p>
    <w:p>
      <w:pPr>
        <w:spacing w:after="120" w:before="60"/>
      </w:pPr>
      <w:r>
        <w:rPr>
          <w:rFonts w:ascii="Arial" w:cs="Arial" w:eastAsia="Arial" w:hAnsi="Arial"/>
          <w:color w:val="1F2A24"/>
          <w:sz w:val="22"/>
          <w:szCs w:val="22"/>
        </w:rPr>
        <w:t xml:space="preserve">Se utiliza la Gemini Developer API en su versión free tier para enviar imágenes de la muestra de soya y recibir un análisis de clasificación visual estructurado. El modelo recibe un prompt específico diseñado para el contexto del acopio:</w:t>
      </w:r>
    </w:p>
    <w:p>
      <w:pPr>
        <w:spacing w:after="80" w:before="80"/>
      </w:pPr>
      <w:r>
        <w:rPr>
          <w:rFonts w:ascii="Courier New" w:cs="Courier New" w:eastAsia="Courier New" w:hAnsi="Courier New"/>
          <w:color w:val="064E2E"/>
          <w:sz w:val="18"/>
          <w:szCs w:val="18"/>
        </w:rPr>
        <w:t xml:space="preserve">Prompt de análisis (ejemplo):
"Analiza esta imagen de muestra de soya. Proporciona en formato JSON:
- porcentaje estimado de granos sanos
- porcentaje de granos partidos
- porcentaje de granos manchados
- porcentaje de impurezas visibles
- porcentaje de posible moho
- calificación de calidad: A (excelente), B (buena), C (observar), R (rechazar)
- nivel de riesgo: BAJO, MEDIO, ALTO, CRÍTICO
- observación breve
La humedad NO se infiere desde la imagen."</w:t>
      </w:r>
    </w:p>
    <w:p>
      <w:pPr>
        <w:pStyle w:val="Heading2"/>
        <w:spacing w:after="80" w:before="240"/>
      </w:pPr>
      <w:r>
        <w:rPr>
          <w:rFonts w:ascii="Arial" w:cs="Arial" w:eastAsia="Arial" w:hAnsi="Arial"/>
          <w:b/>
          <w:bCs/>
          <w:color w:val="008C45"/>
          <w:sz w:val="26"/>
          <w:szCs w:val="26"/>
        </w:rPr>
        <w:t xml:space="preserve">11.3 Alcance y Limitaciones del Análisis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Aspecto</w:t>
            </w:r>
          </w:p>
        </w:tc>
        <w:tc>
          <w:tcPr>
            <w:tcW w:type="dxa" w:w="350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Lo que hace la IA</w:t>
            </w:r>
          </w:p>
        </w:tc>
        <w:tc>
          <w:tcPr>
            <w:tcW w:type="dxa" w:w="386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Lo que NO hace la IA</w:t>
            </w:r>
          </w:p>
        </w:tc>
      </w:tr>
      <w:tr>
        <w:tc>
          <w:tcPr>
            <w:tcW w:type="dxa" w:w="20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Humedad</w:t>
            </w:r>
          </w:p>
        </w:tc>
        <w:tc>
          <w:tcPr>
            <w:tcW w:type="dxa" w:w="3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No analiza</w:t>
            </w:r>
          </w:p>
        </w:tc>
        <w:tc>
          <w:tcPr>
            <w:tcW w:type="dxa" w:w="38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No puede determinarse desde imagen; se ingresa manualmente</w:t>
            </w:r>
          </w:p>
        </w:tc>
      </w:tr>
      <w:tr>
        <w:tc>
          <w:tcPr>
            <w:tcW w:type="dxa" w:w="20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Grano sano</w:t>
            </w:r>
          </w:p>
        </w:tc>
        <w:tc>
          <w:tcPr>
            <w:tcW w:type="dxa" w:w="35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Estima porcentaje visual</w:t>
            </w:r>
          </w:p>
        </w:tc>
        <w:tc>
          <w:tcPr>
            <w:tcW w:type="dxa" w:w="38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No certifica calidad de laboratorio</w:t>
            </w:r>
          </w:p>
        </w:tc>
      </w:tr>
      <w:tr>
        <w:tc>
          <w:tcPr>
            <w:tcW w:type="dxa" w:w="20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Grano partido/manchado</w:t>
            </w:r>
          </w:p>
        </w:tc>
        <w:tc>
          <w:tcPr>
            <w:tcW w:type="dxa" w:w="3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Clasifica visualmente</w:t>
            </w:r>
          </w:p>
        </w:tc>
        <w:tc>
          <w:tcPr>
            <w:tcW w:type="dxa" w:w="38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No reemplaza inspección manual especializada</w:t>
            </w:r>
          </w:p>
        </w:tc>
      </w:tr>
      <w:tr>
        <w:tc>
          <w:tcPr>
            <w:tcW w:type="dxa" w:w="20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Impurezas</w:t>
            </w:r>
          </w:p>
        </w:tc>
        <w:tc>
          <w:tcPr>
            <w:tcW w:type="dxa" w:w="35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Detecta visualmente</w:t>
            </w:r>
          </w:p>
        </w:tc>
        <w:tc>
          <w:tcPr>
            <w:tcW w:type="dxa" w:w="38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No mide peso ni densidad de impurezas</w:t>
            </w:r>
          </w:p>
        </w:tc>
      </w:tr>
      <w:tr>
        <w:tc>
          <w:tcPr>
            <w:tcW w:type="dxa" w:w="20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Moho</w:t>
            </w:r>
          </w:p>
        </w:tc>
        <w:tc>
          <w:tcPr>
            <w:tcW w:type="dxa" w:w="3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Detecta indicadores visuales</w:t>
            </w:r>
          </w:p>
        </w:tc>
        <w:tc>
          <w:tcPr>
            <w:tcW w:type="dxa" w:w="38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No analiza micotoxinas ni contaminación química</w:t>
            </w:r>
          </w:p>
        </w:tc>
      </w:tr>
      <w:tr>
        <w:tc>
          <w:tcPr>
            <w:tcW w:type="dxa" w:w="20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Castigo</w:t>
            </w:r>
          </w:p>
        </w:tc>
        <w:tc>
          <w:tcPr>
            <w:tcW w:type="dxa" w:w="35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No calcula</w:t>
            </w:r>
          </w:p>
        </w:tc>
        <w:tc>
          <w:tcPr>
            <w:tcW w:type="dxa" w:w="38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El castigo lo calculan reglas del sistema, no la IA</w:t>
            </w:r>
          </w:p>
        </w:tc>
      </w:tr>
    </w:tbl>
    <w:p>
      <w:pPr>
        <w:spacing w:after="0" w:before="0"/>
      </w:pPr>
      <w:r>
        <w:t xml:space="preserve"/>
      </w:r>
    </w:p>
    <w:p>
      <w:pPr>
        <w:spacing w:after="120" w:before="60"/>
      </w:pPr>
      <w:r>
        <w:rPr>
          <w:rFonts w:ascii="Arial" w:cs="Arial" w:eastAsia="Arial" w:hAnsi="Arial"/>
          <w:color w:val="1F2A24"/>
          <w:sz w:val="22"/>
          <w:szCs w:val="22"/>
        </w:rPr>
        <w:t xml:space="preserve">El MVP no falsifica funcionalidades de IA. Los resultados se presentan como apoyo visual a la decisión, no como dictamen técnico definitivo. El sistema siempre advierte al operador que el análisis es orientativo y no reemplaza el laboratorio certificado.</w:t>
      </w:r>
    </w:p>
    <w:p>
      <w:pPr>
        <w:pStyle w:val="Heading2"/>
        <w:spacing w:after="80" w:before="240"/>
      </w:pPr>
      <w:r>
        <w:rPr>
          <w:rFonts w:ascii="Arial" w:cs="Arial" w:eastAsia="Arial" w:hAnsi="Arial"/>
          <w:b/>
          <w:bCs/>
          <w:color w:val="008C45"/>
          <w:sz w:val="26"/>
          <w:szCs w:val="26"/>
        </w:rPr>
        <w:t xml:space="preserve">11.4 Integración Técnica</w:t>
      </w:r>
    </w:p>
    <w:p>
      <w:pPr>
        <w:spacing w:after="120" w:before="60"/>
      </w:pPr>
      <w:r>
        <w:rPr>
          <w:rFonts w:ascii="Arial" w:cs="Arial" w:eastAsia="Arial" w:hAnsi="Arial"/>
          <w:color w:val="1F2A24"/>
          <w:sz w:val="22"/>
          <w:szCs w:val="22"/>
        </w:rPr>
        <w:t xml:space="preserve">La integración con Gemini API se realiza desde el cliente mediante fetch a la API con autenticación por API key configurada en variables de entorno (.env). Las imágenes se convierten a base64 antes del envío. La respuesta JSON se parsea y presenta en la interfaz con representación visual de porcentajes.</w:t>
      </w:r>
    </w:p>
    <w:p>
      <w:r>
        <w:br w:type="page"/>
      </w:r>
    </w:p>
    <w:p>
      <w:pPr>
        <w:pStyle w:val="Heading1"/>
        <w:spacing w:after="120" w:before="360"/>
      </w:pPr>
      <w:r>
        <w:rPr>
          <w:rFonts w:ascii="Arial" w:cs="Arial" w:eastAsia="Arial" w:hAnsi="Arial"/>
          <w:b/>
          <w:bCs/>
          <w:color w:val="064E2E"/>
          <w:sz w:val="32"/>
          <w:szCs w:val="32"/>
        </w:rPr>
        <w:t xml:space="preserve">12. Modelo de Datos Preliminar</w:t>
      </w:r>
    </w:p>
    <w:p>
      <w:pPr>
        <w:pStyle w:val="Heading2"/>
        <w:spacing w:after="80" w:before="240"/>
      </w:pPr>
      <w:r>
        <w:rPr>
          <w:rFonts w:ascii="Arial" w:cs="Arial" w:eastAsia="Arial" w:hAnsi="Arial"/>
          <w:b/>
          <w:bCs/>
          <w:color w:val="008C45"/>
          <w:sz w:val="26"/>
          <w:szCs w:val="26"/>
        </w:rPr>
        <w:t xml:space="preserve">12.1 Colecciones en Cloud Firestore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rPr>
          <w:tblHeader/>
        </w:trPr>
        <w:tc>
          <w:tcPr>
            <w:tcW w:type="dxa" w:w="180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Colección</w:t>
            </w:r>
          </w:p>
        </w:tc>
        <w:tc>
          <w:tcPr>
            <w:tcW w:type="dxa" w:w="450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Campos principales</w:t>
            </w:r>
          </w:p>
        </w:tc>
        <w:tc>
          <w:tcPr>
            <w:tcW w:type="dxa" w:w="306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Relación</w:t>
            </w:r>
          </w:p>
        </w:tc>
      </w:tr>
      <w:tr>
        <w:tc>
          <w:tcPr>
            <w:tcW w:type="dxa" w:w="18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usuarios</w:t>
            </w:r>
          </w:p>
        </w:tc>
        <w:tc>
          <w:tcPr>
            <w:tcW w:type="dxa" w:w="4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uid, nombre, rol (agricultor / operador), email, fechaRegistro</w:t>
            </w:r>
          </w:p>
        </w:tc>
        <w:tc>
          <w:tcPr>
            <w:tcW w:type="dxa" w:w="30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Raíz</w:t>
            </w:r>
          </w:p>
        </w:tc>
      </w:tr>
      <w:tr>
        <w:tc>
          <w:tcPr>
            <w:tcW w:type="dxa" w:w="18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campanas</w:t>
            </w:r>
          </w:p>
        </w:tc>
        <w:tc>
          <w:tcPr>
            <w:tcW w:type="dxa" w:w="45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uid, usuarioId, zona, hectareas, semilla, fechaSiembra, estado, fechaCreacion</w:t>
            </w:r>
          </w:p>
        </w:tc>
        <w:tc>
          <w:tcPr>
            <w:tcW w:type="dxa" w:w="30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usuarios (1:N)</w:t>
            </w:r>
          </w:p>
        </w:tc>
      </w:tr>
      <w:tr>
        <w:tc>
          <w:tcPr>
            <w:tcW w:type="dxa" w:w="18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costos</w:t>
            </w:r>
          </w:p>
        </w:tc>
        <w:tc>
          <w:tcPr>
            <w:tcW w:type="dxa" w:w="4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campanaId, categoria (semilla/abono/herbicida...), descripcion, cantidad, costo, fecha</w:t>
            </w:r>
          </w:p>
        </w:tc>
        <w:tc>
          <w:tcPr>
            <w:tcW w:type="dxa" w:w="30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campanas (1:N)</w:t>
            </w:r>
          </w:p>
        </w:tc>
      </w:tr>
      <w:tr>
        <w:tc>
          <w:tcPr>
            <w:tcW w:type="dxa" w:w="18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insumos</w:t>
            </w:r>
          </w:p>
        </w:tc>
        <w:tc>
          <w:tcPr>
            <w:tcW w:type="dxa" w:w="45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campanaId, tipo, producto, dosis, hectareasAplicadas, costo, fecha</w:t>
            </w:r>
          </w:p>
        </w:tc>
        <w:tc>
          <w:tcPr>
            <w:tcW w:type="dxa" w:w="30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campanas (1:N)</w:t>
            </w:r>
          </w:p>
        </w:tc>
      </w:tr>
      <w:tr>
        <w:tc>
          <w:tcPr>
            <w:tcW w:type="dxa" w:w="18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actividades</w:t>
            </w:r>
          </w:p>
        </w:tc>
        <w:tc>
          <w:tcPr>
            <w:tcW w:type="dxa" w:w="4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campanaId, tipo (fumigacion/plaga/lluvia/resiembra), descripcion, fecha, fotos[]</w:t>
            </w:r>
          </w:p>
        </w:tc>
        <w:tc>
          <w:tcPr>
            <w:tcW w:type="dxa" w:w="30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campanas (1:N)</w:t>
            </w:r>
          </w:p>
        </w:tc>
      </w:tr>
      <w:tr>
        <w:tc>
          <w:tcPr>
            <w:tcW w:type="dxa" w:w="18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lotes</w:t>
            </w:r>
          </w:p>
        </w:tc>
        <w:tc>
          <w:tcPr>
            <w:tcW w:type="dxa" w:w="45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uid, operadorId, productor, camion, zona, pesoBruto, humedad, fechaIngreso, estado</w:t>
            </w:r>
          </w:p>
        </w:tc>
        <w:tc>
          <w:tcPr>
            <w:tcW w:type="dxa" w:w="30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Raíz</w:t>
            </w:r>
          </w:p>
        </w:tc>
      </w:tr>
      <w:tr>
        <w:tc>
          <w:tcPr>
            <w:tcW w:type="dxa" w:w="18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muestras</w:t>
            </w:r>
          </w:p>
        </w:tc>
        <w:tc>
          <w:tcPr>
            <w:tcW w:type="dxa" w:w="4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loteId, fotos[], estadoAnalisis, resultadoIA{sano,partido,manchado,impurezas,moho,calidad,riesgo}</w:t>
            </w:r>
          </w:p>
        </w:tc>
        <w:tc>
          <w:tcPr>
            <w:tcW w:type="dxa" w:w="30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lotes (1:1)</w:t>
            </w:r>
          </w:p>
        </w:tc>
      </w:tr>
      <w:tr>
        <w:tc>
          <w:tcPr>
            <w:tcW w:type="dxa" w:w="18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reportes</w:t>
            </w:r>
          </w:p>
        </w:tc>
        <w:tc>
          <w:tcPr>
            <w:tcW w:type="dxa" w:w="45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loteId, calidad, castigo%, precioFinal, humedadRegistrada, generadoPor, fechaReporte</w:t>
            </w:r>
          </w:p>
        </w:tc>
        <w:tc>
          <w:tcPr>
            <w:tcW w:type="dxa" w:w="30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lotes (1:1)</w:t>
            </w:r>
          </w:p>
        </w:tc>
      </w:tr>
    </w:tbl>
    <w:p>
      <w:pPr>
        <w:spacing w:after="0" w:before="0"/>
      </w:pPr>
      <w:r>
        <w:t xml:space="preserve"/>
      </w:r>
    </w:p>
    <w:p>
      <w:pPr>
        <w:spacing w:after="120" w:before="60"/>
      </w:pPr>
      <w:r>
        <w:rPr>
          <w:rFonts w:ascii="Arial" w:cs="Arial" w:eastAsia="Arial" w:hAnsi="Arial"/>
          <w:color w:val="1F2A24"/>
          <w:sz w:val="22"/>
          <w:szCs w:val="22"/>
        </w:rPr>
        <w:t xml:space="preserve">El modelo de datos es preliminar y orientativo. En el MVP, parte de la información puede gestionarse localmente con localStorage/IndexedDB para el Modo Campo en condiciones offline.</w:t>
      </w:r>
    </w:p>
    <w:p>
      <w:r>
        <w:br w:type="page"/>
      </w:r>
    </w:p>
    <w:p>
      <w:pPr>
        <w:pStyle w:val="Heading1"/>
        <w:spacing w:after="120" w:before="360"/>
      </w:pPr>
      <w:r>
        <w:rPr>
          <w:rFonts w:ascii="Arial" w:cs="Arial" w:eastAsia="Arial" w:hAnsi="Arial"/>
          <w:b/>
          <w:bCs/>
          <w:color w:val="064E2E"/>
          <w:sz w:val="32"/>
          <w:szCs w:val="32"/>
        </w:rPr>
        <w:t xml:space="preserve">13. Análisis FODA</w:t>
      </w:r>
    </w:p>
    <w:p>
      <w:pPr>
        <w:pStyle w:val="Heading2"/>
        <w:spacing w:after="80" w:before="240"/>
      </w:pPr>
      <w:r>
        <w:rPr>
          <w:rFonts w:ascii="Arial" w:cs="Arial" w:eastAsia="Arial" w:hAnsi="Arial"/>
          <w:b/>
          <w:bCs/>
          <w:color w:val="008C45"/>
          <w:sz w:val="26"/>
          <w:szCs w:val="26"/>
        </w:rPr>
        <w:t xml:space="preserve">Fortalezas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360"/>
      </w:tblGrid>
      <w:tr>
        <w:trPr>
          <w:tblHeader/>
        </w:trPr>
        <w:tc>
          <w:tcPr>
            <w:tcW w:type="dxa" w:w="50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0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Fortaleza</w:t>
            </w:r>
          </w:p>
        </w:tc>
        <w:tc>
          <w:tcPr>
            <w:tcW w:type="dxa" w:w="636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F1</w:t>
            </w:r>
          </w:p>
        </w:tc>
        <w:tc>
          <w:tcPr>
            <w:tcW w:type="dxa" w:w="2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Problema local relevante y verificable</w:t>
            </w:r>
          </w:p>
        </w:tc>
        <w:tc>
          <w:tcPr>
            <w:tcW w:type="dxa" w:w="63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La brecha digital en la cadena soyera de Santa Cruz es un problema real, documentado y con impacto económico directo.</w:t>
            </w:r>
          </w:p>
        </w:tc>
      </w:tr>
      <w:tr>
        <w:tc>
          <w:tcPr>
            <w:tcW w:type="dxa" w:w="5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F2</w:t>
            </w:r>
          </w:p>
        </w:tc>
        <w:tc>
          <w:tcPr>
            <w:tcW w:type="dxa" w:w="25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Flujo completo y demostrable</w:t>
            </w:r>
          </w:p>
        </w:tc>
        <w:tc>
          <w:tcPr>
            <w:tcW w:type="dxa" w:w="63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El MVP tiene un flujo de demo sólido: ingreso de lote → humedad → muestra → IA → calidad → castigo → reporte.</w:t>
            </w:r>
          </w:p>
        </w:tc>
      </w:tr>
      <w:tr>
        <w:tc>
          <w:tcPr>
            <w:tcW w:type="dxa" w:w="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F3</w:t>
            </w:r>
          </w:p>
        </w:tc>
        <w:tc>
          <w:tcPr>
            <w:tcW w:type="dxa" w:w="2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IA integrada funcionalmente</w:t>
            </w:r>
          </w:p>
        </w:tc>
        <w:tc>
          <w:tcPr>
            <w:tcW w:type="dxa" w:w="63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Gemini API no es un adorno; clasifica visualmente la muestra y genera datos que alimentan el flujo de decisión.</w:t>
            </w:r>
          </w:p>
        </w:tc>
      </w:tr>
      <w:tr>
        <w:tc>
          <w:tcPr>
            <w:tcW w:type="dxa" w:w="5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F4</w:t>
            </w:r>
          </w:p>
        </w:tc>
        <w:tc>
          <w:tcPr>
            <w:tcW w:type="dxa" w:w="25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Stack gratuito y viable para hackathon</w:t>
            </w:r>
          </w:p>
        </w:tc>
        <w:tc>
          <w:tcPr>
            <w:tcW w:type="dxa" w:w="63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Firebase Spark + Gemini free tier permiten un MVP funcional sin costo operativo.</w:t>
            </w:r>
          </w:p>
        </w:tc>
      </w:tr>
      <w:tr>
        <w:tc>
          <w:tcPr>
            <w:tcW w:type="dxa" w:w="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F5</w:t>
            </w:r>
          </w:p>
        </w:tc>
        <w:tc>
          <w:tcPr>
            <w:tcW w:type="dxa" w:w="2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Diseño institucional agroindustrial</w:t>
            </w:r>
          </w:p>
        </w:tc>
        <w:tc>
          <w:tcPr>
            <w:tcW w:type="dxa" w:w="63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Interfaz visual coherente con el sector, inspirada en portales agropecuarios bolivianos como SENASAG y ASOCEBU.</w:t>
            </w:r>
          </w:p>
        </w:tc>
      </w:tr>
      <w:tr>
        <w:tc>
          <w:tcPr>
            <w:tcW w:type="dxa" w:w="5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F6</w:t>
            </w:r>
          </w:p>
        </w:tc>
        <w:tc>
          <w:tcPr>
            <w:tcW w:type="dxa" w:w="25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Cobertura de dos actores clave</w:t>
            </w:r>
          </w:p>
        </w:tc>
        <w:tc>
          <w:tcPr>
            <w:tcW w:type="dxa" w:w="63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Agricultores y operadores de acopio: los dos extremos de la cadena soyera en un solo ecosistema.</w:t>
            </w:r>
          </w:p>
        </w:tc>
      </w:tr>
    </w:tbl>
    <w:p>
      <w:pPr>
        <w:spacing w:after="0" w:before="0"/>
      </w:pPr>
      <w:r>
        <w:t xml:space="preserve"/>
      </w:r>
    </w:p>
    <w:p>
      <w:pPr>
        <w:pStyle w:val="Heading2"/>
        <w:spacing w:after="80" w:before="240"/>
      </w:pPr>
      <w:r>
        <w:rPr>
          <w:rFonts w:ascii="Arial" w:cs="Arial" w:eastAsia="Arial" w:hAnsi="Arial"/>
          <w:b/>
          <w:bCs/>
          <w:color w:val="008C45"/>
          <w:sz w:val="26"/>
          <w:szCs w:val="26"/>
        </w:rPr>
        <w:t xml:space="preserve">Oportunidades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360"/>
      </w:tblGrid>
      <w:tr>
        <w:trPr>
          <w:tblHeader/>
        </w:trPr>
        <w:tc>
          <w:tcPr>
            <w:tcW w:type="dxa" w:w="50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0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Oportunidad</w:t>
            </w:r>
          </w:p>
        </w:tc>
        <w:tc>
          <w:tcPr>
            <w:tcW w:type="dxa" w:w="636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O1</w:t>
            </w:r>
          </w:p>
        </w:tc>
        <w:tc>
          <w:tcPr>
            <w:tcW w:type="dxa" w:w="2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Digitalización del agro en Bolivia</w:t>
            </w:r>
          </w:p>
        </w:tc>
        <w:tc>
          <w:tcPr>
            <w:tcW w:type="dxa" w:w="63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Creciente interés institucional y privado por soluciones tecnológicas para el sector agropecuario.</w:t>
            </w:r>
          </w:p>
        </w:tc>
      </w:tr>
      <w:tr>
        <w:tc>
          <w:tcPr>
            <w:tcW w:type="dxa" w:w="5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O2</w:t>
            </w:r>
          </w:p>
        </w:tc>
        <w:tc>
          <w:tcPr>
            <w:tcW w:type="dxa" w:w="25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Trazabilidad como valor de exportación</w:t>
            </w:r>
          </w:p>
        </w:tc>
        <w:tc>
          <w:tcPr>
            <w:tcW w:type="dxa" w:w="63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Los mercados internacionales exigen trazabilidad; una solución como AgroSoya aporta a esa cadena.</w:t>
            </w:r>
          </w:p>
        </w:tc>
      </w:tr>
      <w:tr>
        <w:tc>
          <w:tcPr>
            <w:tcW w:type="dxa" w:w="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O3</w:t>
            </w:r>
          </w:p>
        </w:tc>
        <w:tc>
          <w:tcPr>
            <w:tcW w:type="dxa" w:w="2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Expansión a otros cultivos</w:t>
            </w:r>
          </w:p>
        </w:tc>
        <w:tc>
          <w:tcPr>
            <w:tcW w:type="dxa" w:w="63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El modelo campo-acopio puede adaptarse a maíz, girasol, trigo y otros cultivos cruceños.</w:t>
            </w:r>
          </w:p>
        </w:tc>
      </w:tr>
      <w:tr>
        <w:tc>
          <w:tcPr>
            <w:tcW w:type="dxa" w:w="5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O4</w:t>
            </w:r>
          </w:p>
        </w:tc>
        <w:tc>
          <w:tcPr>
            <w:tcW w:type="dxa" w:w="25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Integración con hardware industrial</w:t>
            </w:r>
          </w:p>
        </w:tc>
        <w:tc>
          <w:tcPr>
            <w:tcW w:type="dxa" w:w="63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En fases futuras, integración con medidores de humedad automáticos, PLC y cámaras industriales.</w:t>
            </w:r>
          </w:p>
        </w:tc>
      </w:tr>
      <w:tr>
        <w:tc>
          <w:tcPr>
            <w:tcW w:type="dxa" w:w="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O5</w:t>
            </w:r>
          </w:p>
        </w:tc>
        <w:tc>
          <w:tcPr>
            <w:tcW w:type="dxa" w:w="2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Alianzas con ANAPO, CAO y cooperativas</w:t>
            </w:r>
          </w:p>
        </w:tc>
        <w:tc>
          <w:tcPr>
            <w:tcW w:type="dxa" w:w="63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Organizaciones sectoriales como ANAPO tienen interés en herramientas digitales para sus asociados.</w:t>
            </w:r>
          </w:p>
        </w:tc>
      </w:tr>
    </w:tbl>
    <w:p>
      <w:pPr>
        <w:spacing w:after="0" w:before="0"/>
      </w:pPr>
      <w:r>
        <w:t xml:space="preserve"/>
      </w:r>
    </w:p>
    <w:p>
      <w:pPr>
        <w:pStyle w:val="Heading2"/>
        <w:spacing w:after="80" w:before="240"/>
      </w:pPr>
      <w:r>
        <w:rPr>
          <w:rFonts w:ascii="Arial" w:cs="Arial" w:eastAsia="Arial" w:hAnsi="Arial"/>
          <w:b/>
          <w:bCs/>
          <w:color w:val="008C45"/>
          <w:sz w:val="26"/>
          <w:szCs w:val="26"/>
        </w:rPr>
        <w:t xml:space="preserve">Debilidades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360"/>
      </w:tblGrid>
      <w:tr>
        <w:trPr>
          <w:tblHeader/>
        </w:trPr>
        <w:tc>
          <w:tcPr>
            <w:tcW w:type="dxa" w:w="50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0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Debilidad</w:t>
            </w:r>
          </w:p>
        </w:tc>
        <w:tc>
          <w:tcPr>
            <w:tcW w:type="dxa" w:w="636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D1</w:t>
            </w:r>
          </w:p>
        </w:tc>
        <w:tc>
          <w:tcPr>
            <w:tcW w:type="dxa" w:w="2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Dataset visual limitado en MVP</w:t>
            </w:r>
          </w:p>
        </w:tc>
        <w:tc>
          <w:tcPr>
            <w:tcW w:type="dxa" w:w="63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La precisión de la IA visual depende de la calidad y variedad de imágenes de entrenamiento disponibles.</w:t>
            </w:r>
          </w:p>
        </w:tc>
      </w:tr>
      <w:tr>
        <w:tc>
          <w:tcPr>
            <w:tcW w:type="dxa" w:w="5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D2</w:t>
            </w:r>
          </w:p>
        </w:tc>
        <w:tc>
          <w:tcPr>
            <w:tcW w:type="dxa" w:w="25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Reglas de castigo aproximadas</w:t>
            </w:r>
          </w:p>
        </w:tc>
        <w:tc>
          <w:tcPr>
            <w:tcW w:type="dxa" w:w="63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Las reglas de castigo económico del MVP son orientativas y requieren validación con actores del sector.</w:t>
            </w:r>
          </w:p>
        </w:tc>
      </w:tr>
      <w:tr>
        <w:tc>
          <w:tcPr>
            <w:tcW w:type="dxa" w:w="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D3</w:t>
            </w:r>
          </w:p>
        </w:tc>
        <w:tc>
          <w:tcPr>
            <w:tcW w:type="dxa" w:w="2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Dependencia de validación técnica agronómica</w:t>
            </w:r>
          </w:p>
        </w:tc>
        <w:tc>
          <w:tcPr>
            <w:tcW w:type="dxa" w:w="63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Algunas funciones requieren respaldo de profesionales del agro para ser adoptadas formalmente.</w:t>
            </w:r>
          </w:p>
        </w:tc>
      </w:tr>
      <w:tr>
        <w:tc>
          <w:tcPr>
            <w:tcW w:type="dxa" w:w="5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D4</w:t>
            </w:r>
          </w:p>
        </w:tc>
        <w:tc>
          <w:tcPr>
            <w:tcW w:type="dxa" w:w="25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Conectividad rural limitada</w:t>
            </w:r>
          </w:p>
        </w:tc>
        <w:tc>
          <w:tcPr>
            <w:tcW w:type="dxa" w:w="63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El Modo Campo opera offline parcialmente, pero la sincronización requiere conectividad eventual.</w:t>
            </w:r>
          </w:p>
        </w:tc>
      </w:tr>
      <w:tr>
        <w:tc>
          <w:tcPr>
            <w:tcW w:type="dxa" w:w="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D5</w:t>
            </w:r>
          </w:p>
        </w:tc>
        <w:tc>
          <w:tcPr>
            <w:tcW w:type="dxa" w:w="2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Equipo de hackathon con tiempo limitado</w:t>
            </w:r>
          </w:p>
        </w:tc>
        <w:tc>
          <w:tcPr>
            <w:tcW w:type="dxa" w:w="63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El MVP se construye en 3 días; la calidad del polish visual y la cobertura de casos borde son limitadas.</w:t>
            </w:r>
          </w:p>
        </w:tc>
      </w:tr>
    </w:tbl>
    <w:p>
      <w:pPr>
        <w:spacing w:after="0" w:before="0"/>
      </w:pPr>
      <w:r>
        <w:t xml:space="preserve"/>
      </w:r>
    </w:p>
    <w:p>
      <w:pPr>
        <w:pStyle w:val="Heading2"/>
        <w:spacing w:after="80" w:before="240"/>
      </w:pPr>
      <w:r>
        <w:rPr>
          <w:rFonts w:ascii="Arial" w:cs="Arial" w:eastAsia="Arial" w:hAnsi="Arial"/>
          <w:b/>
          <w:bCs/>
          <w:color w:val="008C45"/>
          <w:sz w:val="26"/>
          <w:szCs w:val="26"/>
        </w:rPr>
        <w:t xml:space="preserve">Amenazas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360"/>
      </w:tblGrid>
      <w:tr>
        <w:trPr>
          <w:tblHeader/>
        </w:trPr>
        <w:tc>
          <w:tcPr>
            <w:tcW w:type="dxa" w:w="50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0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Amenaza</w:t>
            </w:r>
          </w:p>
        </w:tc>
        <w:tc>
          <w:tcPr>
            <w:tcW w:type="dxa" w:w="636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A1</w:t>
            </w:r>
          </w:p>
        </w:tc>
        <w:tc>
          <w:tcPr>
            <w:tcW w:type="dxa" w:w="2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Baja adopción tecnológica en campo</w:t>
            </w:r>
          </w:p>
        </w:tc>
        <w:tc>
          <w:tcPr>
            <w:tcW w:type="dxa" w:w="63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Los agricultores con menor exposición a tecnología pueden resistir el cambio a herramientas digitales.</w:t>
            </w:r>
          </w:p>
        </w:tc>
      </w:tr>
      <w:tr>
        <w:tc>
          <w:tcPr>
            <w:tcW w:type="dxa" w:w="5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A2</w:t>
            </w:r>
          </w:p>
        </w:tc>
        <w:tc>
          <w:tcPr>
            <w:tcW w:type="dxa" w:w="25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Crítica por promesas excesivas</w:t>
            </w:r>
          </w:p>
        </w:tc>
        <w:tc>
          <w:tcPr>
            <w:tcW w:type="dxa" w:w="63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Si el proyecto promete más de lo que el MVP puede hacer (ej: medir humedad desde foto), pierde credibilidad.</w:t>
            </w:r>
          </w:p>
        </w:tc>
      </w:tr>
      <w:tr>
        <w:tc>
          <w:tcPr>
            <w:tcW w:type="dxa" w:w="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A3</w:t>
            </w:r>
          </w:p>
        </w:tc>
        <w:tc>
          <w:tcPr>
            <w:tcW w:type="dxa" w:w="2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Volatilidad del precio de soya</w:t>
            </w:r>
          </w:p>
        </w:tc>
        <w:tc>
          <w:tcPr>
            <w:tcW w:type="dxa" w:w="63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Cambios bruscos en el precio internacional afectan la percepción de valor de herramientas de rentabilidad.</w:t>
            </w:r>
          </w:p>
        </w:tc>
      </w:tr>
      <w:tr>
        <w:tc>
          <w:tcPr>
            <w:tcW w:type="dxa" w:w="5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A4</w:t>
            </w:r>
          </w:p>
        </w:tc>
        <w:tc>
          <w:tcPr>
            <w:tcW w:type="dxa" w:w="25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Cambios en términos de uso de Gemini API</w:t>
            </w:r>
          </w:p>
        </w:tc>
        <w:tc>
          <w:tcPr>
            <w:tcW w:type="dxa" w:w="63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El tier gratuito puede tener límites de uso que afecten la estabilidad en demo.</w:t>
            </w:r>
          </w:p>
        </w:tc>
      </w:tr>
      <w:tr>
        <w:tc>
          <w:tcPr>
            <w:tcW w:type="dxa" w:w="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A5</w:t>
            </w:r>
          </w:p>
        </w:tc>
        <w:tc>
          <w:tcPr>
            <w:tcW w:type="dxa" w:w="2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Soluciones similares con más recursos</w:t>
            </w:r>
          </w:p>
        </w:tc>
        <w:tc>
          <w:tcPr>
            <w:tcW w:type="dxa" w:w="63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Startups o empresas con más recursos podrían entrar al mismo espacio con mayor velocidad.</w:t>
            </w:r>
          </w:p>
        </w:tc>
      </w:tr>
    </w:tbl>
    <w:p>
      <w:r>
        <w:br w:type="page"/>
      </w:r>
    </w:p>
    <w:p>
      <w:pPr>
        <w:pStyle w:val="Heading1"/>
        <w:spacing w:after="120" w:before="360"/>
      </w:pPr>
      <w:r>
        <w:rPr>
          <w:rFonts w:ascii="Arial" w:cs="Arial" w:eastAsia="Arial" w:hAnsi="Arial"/>
          <w:b/>
          <w:bCs/>
          <w:color w:val="064E2E"/>
          <w:sz w:val="32"/>
          <w:szCs w:val="32"/>
        </w:rPr>
        <w:t xml:space="preserve">14. Análisis PESTEL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rPr>
          <w:tblHeader/>
        </w:trPr>
        <w:tc>
          <w:tcPr>
            <w:tcW w:type="dxa" w:w="120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420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Análisis</w:t>
            </w:r>
          </w:p>
        </w:tc>
        <w:tc>
          <w:tcPr>
            <w:tcW w:type="dxa" w:w="396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Impacto en AgroSoya</w:t>
            </w:r>
          </w:p>
        </w:tc>
      </w:tr>
      <w:tr>
        <w:tc>
          <w:tcPr>
            <w:tcW w:type="dxa" w:w="12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Político</w:t>
            </w:r>
          </w:p>
        </w:tc>
        <w:tc>
          <w:tcPr>
            <w:tcW w:type="dxa" w:w="42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Las políticas agropecuarias del Estado Plurinacional priorizan la seguridad alimentaria y la diversificación productiva. El Ministerio de Desarrollo Rural y Tierras tiene programas de asistencia técnica. SENASAG regula la sanidad agropecuaria e inocuidad. Las exportaciones de soya están sujetas a autorizaciones y aranceles.</w:t>
            </w:r>
          </w:p>
        </w:tc>
        <w:tc>
          <w:tcPr>
            <w:tcW w:type="dxa" w:w="39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Positivo: existe marco institucional para apoyar digitalización. Neutral: regulaciones de recomendación agronómica requieren validación con profesionales habilitados.</w:t>
            </w:r>
          </w:p>
        </w:tc>
      </w:tr>
      <w:tr>
        <w:tc>
          <w:tcPr>
            <w:tcW w:type="dxa" w:w="12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Económico</w:t>
            </w:r>
          </w:p>
        </w:tc>
        <w:tc>
          <w:tcPr>
            <w:tcW w:type="dxa" w:w="42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La soya es el principal rubro exportador agroindustrial de Bolivia. El precio internacional de la soya (Chicago Board of Trade) impacta directamente la rentabilidad del productor. Los costos de insumos, diésel y transporte son variables críticas. Los castigos de calidad en acopio pueden representar pérdidas significativas para el productor.</w:t>
            </w:r>
          </w:p>
        </w:tc>
        <w:tc>
          <w:tcPr>
            <w:tcW w:type="dxa" w:w="39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Positivo: alta sensibilidad al costo y precio hace relevante una herramienta de cálculo de rentabilidad. La reducción de castigos por mejor control de calidad tiene impacto económico directo.</w:t>
            </w:r>
          </w:p>
        </w:tc>
      </w:tr>
      <w:tr>
        <w:tc>
          <w:tcPr>
            <w:tcW w:type="dxa" w:w="12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Social</w:t>
            </w:r>
          </w:p>
        </w:tc>
        <w:tc>
          <w:tcPr>
            <w:tcW w:type="dxa" w:w="42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Una fracción importante de los productores de soya en Santa Cruz son agricultores medianos o pequeños con distinta exposición a tecnología. Los técnicos agrícolas y extensionistas son intermediarios clave para la adopción. La cultura del registro manual es predominante en el sector.</w:t>
            </w:r>
          </w:p>
        </w:tc>
        <w:tc>
          <w:tcPr>
            <w:tcW w:type="dxa" w:w="39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Desafío: la adopción requiere capacitación y confianza. Oportunidad: una interfaz simple, en español local y orientada al flujo real del trabajo puede reducir la barrera de entrada.</w:t>
            </w:r>
          </w:p>
        </w:tc>
      </w:tr>
      <w:tr>
        <w:tc>
          <w:tcPr>
            <w:tcW w:type="dxa" w:w="12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Tecnológico</w:t>
            </w:r>
          </w:p>
        </w:tc>
        <w:tc>
          <w:tcPr>
            <w:tcW w:type="dxa" w:w="42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PWA es tecnológicamente viable sin necesidad de app nativa. Firebase ofrece infraestructura escalable en nivel gratuito. Gemini API provee capacidades de visión artificial accesibles. La penetración de smartphones en el agro cruceño es creciente. La conectividad en áreas rurales es limitada pero mejora progresivamente.</w:t>
            </w:r>
          </w:p>
        </w:tc>
        <w:tc>
          <w:tcPr>
            <w:tcW w:type="dxa" w:w="39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Positivo: el stack elegido es moderno, gratuito y funcional. La arquitectura PWA offline-first responde a la limitación de conectividad. IA visual multimodal es aplicable con recursos limitados.</w:t>
            </w:r>
          </w:p>
        </w:tc>
      </w:tr>
      <w:tr>
        <w:tc>
          <w:tcPr>
            <w:tcW w:type="dxa" w:w="12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Ambiental</w:t>
            </w:r>
          </w:p>
        </w:tc>
        <w:tc>
          <w:tcPr>
            <w:tcW w:type="dxa" w:w="42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El clima en Santa Cruz es tropical con estaciones marcadas. Sequías, heladas tardías, exceso de lluvias y plagas son riesgos productivos reales. La sostenibilidad del cultivo de soya en expansión genera debate sobre uso de suelo y deforestación.</w:t>
            </w:r>
          </w:p>
        </w:tc>
        <w:tc>
          <w:tcPr>
            <w:tcW w:type="dxa" w:w="39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Relevante: el Modo Campo puede registrar incidencias climáticas y plagas, generando datos útiles para análisis histórico. El sistema no toma decisiones sobre uso de suelo ni reemplaza control ambiental oficial.</w:t>
            </w:r>
          </w:p>
        </w:tc>
      </w:tr>
      <w:tr>
        <w:tc>
          <w:tcPr>
            <w:tcW w:type="dxa" w:w="12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Legal</w:t>
            </w:r>
          </w:p>
        </w:tc>
        <w:tc>
          <w:tcPr>
            <w:tcW w:type="dxa" w:w="42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Las recomendaciones de insumos agrícolas en Bolivia requieren respaldo de ingenieros agrónomos habilitados (SENASAG). El uso de datos personales está sujeto a normativa de protección de datos. La IA no puede certificar calidad de grano para efectos legales o comerciales formales.</w:t>
            </w:r>
          </w:p>
        </w:tc>
        <w:tc>
          <w:tcPr>
            <w:tcW w:type="dxa" w:w="39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Importante: AgroSoya se presenta como herramienta de apoyo y registro, no como sistema de recomendación agronómica certificada ni de certificación de calidad. Las aclaraciones legales están incluidas en la interfaz del MVP.</w:t>
            </w:r>
          </w:p>
        </w:tc>
      </w:tr>
    </w:tbl>
    <w:p>
      <w:r>
        <w:br w:type="page"/>
      </w:r>
    </w:p>
    <w:p>
      <w:pPr>
        <w:pStyle w:val="Heading1"/>
        <w:spacing w:after="120" w:before="360"/>
      </w:pPr>
      <w:r>
        <w:rPr>
          <w:rFonts w:ascii="Arial" w:cs="Arial" w:eastAsia="Arial" w:hAnsi="Arial"/>
          <w:b/>
          <w:bCs/>
          <w:color w:val="064E2E"/>
          <w:sz w:val="32"/>
          <w:szCs w:val="32"/>
        </w:rPr>
        <w:t xml:space="preserve">15. Lean Canvas — AgroSoya</w:t>
      </w:r>
    </w:p>
    <w:p>
      <w:pPr>
        <w:spacing w:after="120" w:before="60"/>
      </w:pPr>
      <w:r>
        <w:rPr>
          <w:rFonts w:ascii="Arial" w:cs="Arial" w:eastAsia="Arial" w:hAnsi="Arial"/>
          <w:color w:val="1F2A24"/>
          <w:sz w:val="22"/>
          <w:szCs w:val="22"/>
        </w:rPr>
        <w:t xml:space="preserve">El siguiente Lean Canvas resume el modelo de negocio de AgroSoya conforme a los bloques oficiales del evento.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Bloque</w:t>
            </w:r>
          </w:p>
        </w:tc>
        <w:tc>
          <w:tcPr>
            <w:tcW w:type="dxa" w:w="716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Contenido</w:t>
            </w:r>
          </w:p>
        </w:tc>
      </w:tr>
      <w:tr>
        <w:tc>
          <w:tcPr>
            <w:tcW w:type="dxa" w:w="22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PROBLEMA
(Top 3)</w:t>
            </w:r>
          </w:p>
        </w:tc>
        <w:tc>
          <w:tcPr>
            <w:tcW w:type="dxa" w:w="71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1. Los agricultores de soya no cuentan con herramientas digitales para registrar costos, estimar rentabilidad y llevar historial de campaña.
2. Los centros de acopio realizan evaluación visual de calidad de forma manual y poco trazable.
3. No existe un hilo digital que conecte el origen del lote en campo con su evaluación en acopio.</w:t>
            </w:r>
          </w:p>
        </w:tc>
      </w:tr>
      <w:tr>
        <w:tc>
          <w:tcPr>
            <w:tcW w:type="dxa" w:w="22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SOLUCIÓN</w:t>
            </w:r>
          </w:p>
        </w:tc>
        <w:tc>
          <w:tcPr>
            <w:tcW w:type="dxa" w:w="71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Plataforma PWA con Modo Campo (campaña, costos, insumos, rentabilidad, bitácora) y Modo Acopio (ingreso de lote, humedad manual, análisis IA visual, castigo, reporte).</w:t>
            </w:r>
          </w:p>
        </w:tc>
      </w:tr>
      <w:tr>
        <w:tc>
          <w:tcPr>
            <w:tcW w:type="dxa" w:w="22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PROPOSICIÓN DE VALOR ÚNICA</w:t>
            </w:r>
          </w:p>
        </w:tc>
        <w:tc>
          <w:tcPr>
            <w:tcW w:type="dxa" w:w="71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Digitalizar y conectar la cadena soyera desde campo hasta acopio usando IA visual para mejorar trazabilidad, reducir incertidumbre y apoyar decisiones. Una sola plataforma para agricultor e industria.</w:t>
            </w:r>
          </w:p>
        </w:tc>
      </w:tr>
      <w:tr>
        <w:tc>
          <w:tcPr>
            <w:tcW w:type="dxa" w:w="22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VENTAJA ESPECIAL</w:t>
            </w:r>
          </w:p>
        </w:tc>
        <w:tc>
          <w:tcPr>
            <w:tcW w:type="dxa" w:w="71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Enfoque local en la cadena soyera cruceña. Modo Campo + Modo Acopio integrados. IA aplicada al flujo real del acopio, no como adorno. Stack gratuito y viable sin inversión inicial.</w:t>
            </w:r>
          </w:p>
        </w:tc>
      </w:tr>
      <w:tr>
        <w:tc>
          <w:tcPr>
            <w:tcW w:type="dxa" w:w="22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SEGMENTO DE CLIENTES</w:t>
            </w:r>
          </w:p>
        </w:tc>
        <w:tc>
          <w:tcPr>
            <w:tcW w:type="dxa" w:w="71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Primario: operadores de silos/acopiadoras y agricultores de soya de Santa Cruz.
Secundario: técnicos agrícolas, cooperativas, asociaciones productivas (ANAPO, CAO).</w:t>
            </w:r>
          </w:p>
        </w:tc>
      </w:tr>
      <w:tr>
        <w:tc>
          <w:tcPr>
            <w:tcW w:type="dxa" w:w="22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MÉTRICAS CLAVE</w:t>
            </w:r>
          </w:p>
        </w:tc>
        <w:tc>
          <w:tcPr>
            <w:tcW w:type="dxa" w:w="71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Campañas registradas. Lotes analizados. Reportes generados. Tiempo de recepción. % de muestras con calidad observada. Pérdida estimada por castigo. Usuarios activos.</w:t>
            </w:r>
          </w:p>
        </w:tc>
      </w:tr>
      <w:tr>
        <w:tc>
          <w:tcPr>
            <w:tcW w:type="dxa" w:w="22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CANALES</w:t>
            </w:r>
          </w:p>
        </w:tc>
        <w:tc>
          <w:tcPr>
            <w:tcW w:type="dxa" w:w="71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Asociaciones de productores (ANAPO, CAO). Ferias agroindustriales de Santa Cruz. Técnicos de campo y extensionistas. Alianzas directas con silos y acopiadoras. Difusión digital y redes profesionales.</w:t>
            </w:r>
          </w:p>
        </w:tc>
      </w:tr>
      <w:tr>
        <w:tc>
          <w:tcPr>
            <w:tcW w:type="dxa" w:w="22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ESTRUCTURA DE COSTES</w:t>
            </w:r>
          </w:p>
        </w:tc>
        <w:tc>
          <w:tcPr>
            <w:tcW w:type="dxa" w:w="71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Desarrollo (tiempo de equipo). Hosting Firebase (gratuito en Spark). Storage Firebase (gratuito en límites Spark). Gemini API (free tier). Capacitación y soporte inicial. Mantenimiento y actualizaciones.</w:t>
            </w:r>
          </w:p>
        </w:tc>
      </w:tr>
      <w:tr>
        <w:tc>
          <w:tcPr>
            <w:tcW w:type="dxa" w:w="22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FLUJO DE INGRESOS (FUTURO)</w:t>
            </w:r>
          </w:p>
        </w:tc>
        <w:tc>
          <w:tcPr>
            <w:tcW w:type="dxa" w:w="71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SaaS mensual para silos/acopiadoras (suscripción por volumen de lotes). Plan premium para agricultores (más campañas, reportes avanzados). Licencias para cooperativas y asociaciones. Servicios de integración y personalización.</w:t>
            </w:r>
          </w:p>
        </w:tc>
      </w:tr>
    </w:tbl>
    <w:p>
      <w:pPr>
        <w:spacing w:after="0" w:before="0"/>
      </w:pPr>
      <w:r>
        <w:t xml:space="preserve"/>
      </w:r>
    </w:p>
    <w:p>
      <w:pPr>
        <w:spacing w:after="120" w:before="60"/>
      </w:pPr>
      <w:r>
        <w:rPr>
          <w:rFonts w:ascii="Arial" w:cs="Arial" w:eastAsia="Arial" w:hAnsi="Arial"/>
          <w:color w:val="1F2A24"/>
          <w:sz w:val="22"/>
          <w:szCs w:val="22"/>
        </w:rPr>
        <w:t xml:space="preserve">Nota: el modelo de ingresos es proyectado para versiones post-MVP. El MVP de hackathon no genera ingresos; su objetivo es validar el flujo técnico y el valor percibido por los usuarios.</w:t>
      </w:r>
    </w:p>
    <w:p>
      <w:r>
        <w:br w:type="page"/>
      </w:r>
    </w:p>
    <w:p>
      <w:pPr>
        <w:pStyle w:val="Heading1"/>
        <w:spacing w:after="120" w:before="360"/>
      </w:pPr>
      <w:r>
        <w:rPr>
          <w:rFonts w:ascii="Arial" w:cs="Arial" w:eastAsia="Arial" w:hAnsi="Arial"/>
          <w:b/>
          <w:bCs/>
          <w:color w:val="064E2E"/>
          <w:sz w:val="32"/>
          <w:szCs w:val="32"/>
        </w:rPr>
        <w:t xml:space="preserve">16. Análisis Financiero</w:t>
      </w:r>
    </w:p>
    <w:p>
      <w:pPr>
        <w:spacing w:after="120" w:before="60"/>
      </w:pPr>
      <w:r>
        <w:rPr>
          <w:rFonts w:ascii="Arial" w:cs="Arial" w:eastAsia="Arial" w:hAnsi="Arial"/>
          <w:color w:val="1F2A24"/>
          <w:sz w:val="22"/>
          <w:szCs w:val="22"/>
        </w:rPr>
        <w:t xml:space="preserve">El análisis financiero es estimativo para hackathon. No representa un plan de negocios formal ni cifras auditadas. Todos los valores son supuestos claramente marcados como tales.</w:t>
      </w:r>
    </w:p>
    <w:p>
      <w:pPr>
        <w:pStyle w:val="Heading2"/>
        <w:spacing w:after="80" w:before="240"/>
      </w:pPr>
      <w:r>
        <w:rPr>
          <w:rFonts w:ascii="Arial" w:cs="Arial" w:eastAsia="Arial" w:hAnsi="Arial"/>
          <w:b/>
          <w:bCs/>
          <w:color w:val="008C45"/>
          <w:sz w:val="26"/>
          <w:szCs w:val="26"/>
        </w:rPr>
        <w:t xml:space="preserve">16.1 Costos del MVP (Desarrollo — 3 días de hackathon)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Concepto</w:t>
            </w:r>
          </w:p>
        </w:tc>
        <w:tc>
          <w:tcPr>
            <w:tcW w:type="dxa" w:w="400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86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Costo estimado</w:t>
            </w:r>
          </w:p>
        </w:tc>
      </w:tr>
      <w:tr>
        <w:tc>
          <w:tcPr>
            <w:tcW w:type="dxa" w:w="2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Tiempo de equipo</w:t>
            </w:r>
          </w:p>
        </w:tc>
        <w:tc>
          <w:tcPr>
            <w:tcW w:type="dxa" w:w="40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3–6 personas × 3 días × 10 hrs/día (supuesto: costo hora promedio $8 USD)</w:t>
            </w:r>
          </w:p>
        </w:tc>
        <w:tc>
          <w:tcPr>
            <w:tcW w:type="dxa" w:w="28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$720 – $1,440 USD</w:t>
            </w:r>
          </w:p>
        </w:tc>
      </w:tr>
      <w:tr>
        <w:tc>
          <w:tcPr>
            <w:tcW w:type="dxa" w:w="25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Firebase Hosting</w:t>
            </w:r>
          </w:p>
        </w:tc>
        <w:tc>
          <w:tcPr>
            <w:tcW w:type="dxa" w:w="40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Plan Spark gratuito</w:t>
            </w:r>
          </w:p>
        </w:tc>
        <w:tc>
          <w:tcPr>
            <w:tcW w:type="dxa" w:w="28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$0</w:t>
            </w:r>
          </w:p>
        </w:tc>
      </w:tr>
      <w:tr>
        <w:tc>
          <w:tcPr>
            <w:tcW w:type="dxa" w:w="2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Cloud Firestore</w:t>
            </w:r>
          </w:p>
        </w:tc>
        <w:tc>
          <w:tcPr>
            <w:tcW w:type="dxa" w:w="40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Plan Spark gratuito (hasta 1GB almacenamiento)</w:t>
            </w:r>
          </w:p>
        </w:tc>
        <w:tc>
          <w:tcPr>
            <w:tcW w:type="dxa" w:w="28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$0</w:t>
            </w:r>
          </w:p>
        </w:tc>
      </w:tr>
      <w:tr>
        <w:tc>
          <w:tcPr>
            <w:tcW w:type="dxa" w:w="25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Cloud Storage</w:t>
            </w:r>
          </w:p>
        </w:tc>
        <w:tc>
          <w:tcPr>
            <w:tcW w:type="dxa" w:w="40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Plan Spark gratuito (hasta 5GB)</w:t>
            </w:r>
          </w:p>
        </w:tc>
        <w:tc>
          <w:tcPr>
            <w:tcW w:type="dxa" w:w="28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$0</w:t>
            </w:r>
          </w:p>
        </w:tc>
      </w:tr>
      <w:tr>
        <w:tc>
          <w:tcPr>
            <w:tcW w:type="dxa" w:w="2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Firebase Auth</w:t>
            </w:r>
          </w:p>
        </w:tc>
        <w:tc>
          <w:tcPr>
            <w:tcW w:type="dxa" w:w="40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Incluido en plan Spark</w:t>
            </w:r>
          </w:p>
        </w:tc>
        <w:tc>
          <w:tcPr>
            <w:tcW w:type="dxa" w:w="28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$0</w:t>
            </w:r>
          </w:p>
        </w:tc>
      </w:tr>
      <w:tr>
        <w:tc>
          <w:tcPr>
            <w:tcW w:type="dxa" w:w="25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Gemini API</w:t>
            </w:r>
          </w:p>
        </w:tc>
        <w:tc>
          <w:tcPr>
            <w:tcW w:type="dxa" w:w="40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Free tier con límites de uso</w:t>
            </w:r>
          </w:p>
        </w:tc>
        <w:tc>
          <w:tcPr>
            <w:tcW w:type="dxa" w:w="28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$0</w:t>
            </w:r>
          </w:p>
        </w:tc>
      </w:tr>
      <w:tr>
        <w:tc>
          <w:tcPr>
            <w:tcW w:type="dxa" w:w="2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Dominio custom (opcional)</w:t>
            </w:r>
          </w:p>
        </w:tc>
        <w:tc>
          <w:tcPr>
            <w:tcW w:type="dxa" w:w="40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Dominio .bo o .com para demo</w:t>
            </w:r>
          </w:p>
        </w:tc>
        <w:tc>
          <w:tcPr>
            <w:tcW w:type="dxa" w:w="28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$10–$30 USD/año</w:t>
            </w:r>
          </w:p>
        </w:tc>
      </w:tr>
      <w:tr>
        <w:tc>
          <w:tcPr>
            <w:tcW w:type="dxa" w:w="25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TOTAL MVP</w:t>
            </w:r>
          </w:p>
        </w:tc>
        <w:tc>
          <w:tcPr>
            <w:tcW w:type="dxa" w:w="40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Costo de infraestructura en hackathon</w:t>
            </w:r>
          </w:p>
        </w:tc>
        <w:tc>
          <w:tcPr>
            <w:tcW w:type="dxa" w:w="28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$0 infraestructura + costo de equipo</w:t>
            </w:r>
          </w:p>
        </w:tc>
      </w:tr>
    </w:tbl>
    <w:p>
      <w:pPr>
        <w:spacing w:after="0" w:before="0"/>
      </w:pPr>
      <w:r>
        <w:t xml:space="preserve"/>
      </w:r>
    </w:p>
    <w:p>
      <w:pPr>
        <w:pStyle w:val="Heading2"/>
        <w:spacing w:after="80" w:before="240"/>
      </w:pPr>
      <w:r>
        <w:rPr>
          <w:rFonts w:ascii="Arial" w:cs="Arial" w:eastAsia="Arial" w:hAnsi="Arial"/>
          <w:b/>
          <w:bCs/>
          <w:color w:val="008C45"/>
          <w:sz w:val="26"/>
          <w:szCs w:val="26"/>
        </w:rPr>
        <w:t xml:space="preserve">16.2 Costos Operativos Post-MVP (Supuestos)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Concepto</w:t>
            </w:r>
          </w:p>
        </w:tc>
        <w:tc>
          <w:tcPr>
            <w:tcW w:type="dxa" w:w="586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Escenario básico / mes</w:t>
            </w:r>
          </w:p>
        </w:tc>
      </w:tr>
      <w:tr>
        <w:tc>
          <w:tcPr>
            <w:tcW w:type="dxa" w:w="3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Firebase Blaze (si se necesita escalar)</w:t>
            </w:r>
          </w:p>
        </w:tc>
        <w:tc>
          <w:tcPr>
            <w:tcW w:type="dxa" w:w="58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$20–$50 USD/mes (estimado según volumen)</w:t>
            </w:r>
          </w:p>
        </w:tc>
      </w:tr>
      <w:tr>
        <w:tc>
          <w:tcPr>
            <w:tcW w:type="dxa" w:w="35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Gemini API (si se supera free tier)</w:t>
            </w:r>
          </w:p>
        </w:tc>
        <w:tc>
          <w:tcPr>
            <w:tcW w:type="dxa" w:w="58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$10–$30 USD/mes según volumen de análisis</w:t>
            </w:r>
          </w:p>
        </w:tc>
      </w:tr>
      <w:tr>
        <w:tc>
          <w:tcPr>
            <w:tcW w:type="dxa" w:w="3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Dominio + mantenimiento</w:t>
            </w:r>
          </w:p>
        </w:tc>
        <w:tc>
          <w:tcPr>
            <w:tcW w:type="dxa" w:w="58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$5–$10 USD/mes</w:t>
            </w:r>
          </w:p>
        </w:tc>
      </w:tr>
      <w:tr>
        <w:tc>
          <w:tcPr>
            <w:tcW w:type="dxa" w:w="35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Soporte técnico (equipo)</w:t>
            </w:r>
          </w:p>
        </w:tc>
        <w:tc>
          <w:tcPr>
            <w:tcW w:type="dxa" w:w="58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Variable según modelo de negocio</w:t>
            </w:r>
          </w:p>
        </w:tc>
      </w:tr>
    </w:tbl>
    <w:p>
      <w:pPr>
        <w:spacing w:after="0" w:before="0"/>
      </w:pPr>
      <w:r>
        <w:t xml:space="preserve"/>
      </w:r>
    </w:p>
    <w:p>
      <w:pPr>
        <w:pStyle w:val="Heading2"/>
        <w:spacing w:after="80" w:before="240"/>
      </w:pPr>
      <w:r>
        <w:rPr>
          <w:rFonts w:ascii="Arial" w:cs="Arial" w:eastAsia="Arial" w:hAnsi="Arial"/>
          <w:b/>
          <w:bCs/>
          <w:color w:val="008C45"/>
          <w:sz w:val="26"/>
          <w:szCs w:val="26"/>
        </w:rPr>
        <w:t xml:space="preserve">16.3 Escenario Básico de Sostenibilidad (Supuesto)</w:t>
      </w:r>
    </w:p>
    <w:p>
      <w:pPr>
        <w:spacing w:after="120" w:before="60"/>
      </w:pPr>
      <w:r>
        <w:rPr>
          <w:rFonts w:ascii="Arial" w:cs="Arial" w:eastAsia="Arial" w:hAnsi="Arial"/>
          <w:color w:val="1F2A24"/>
          <w:sz w:val="22"/>
          <w:szCs w:val="22"/>
        </w:rPr>
        <w:t xml:space="preserve">Supuesto: 10 silos/acopiadoras con suscripción mensual de $30 USD/mes c/u = $300 USD/mes. Costo operativo estimado: $80–$130 USD/mes. Margen bruto estimado: $170–$220 USD/mes. Este escenario es orientativo y requiere validación de mercado.</w:t>
      </w:r>
    </w:p>
    <w:p>
      <w:pPr>
        <w:pStyle w:val="Heading2"/>
        <w:spacing w:after="80" w:before="240"/>
      </w:pPr>
      <w:r>
        <w:rPr>
          <w:rFonts w:ascii="Arial" w:cs="Arial" w:eastAsia="Arial" w:hAnsi="Arial"/>
          <w:b/>
          <w:bCs/>
          <w:color w:val="008C45"/>
          <w:sz w:val="26"/>
          <w:szCs w:val="26"/>
        </w:rPr>
        <w:t xml:space="preserve">16.4 Beneficios Económicos Esperados</w:t>
      </w:r>
    </w:p>
    <w:p>
      <w:pPr>
        <w:pStyle w:val="ListParagraph"/>
        <w:numPr>
          <w:ilvl w:val="0"/>
          <w:numId w:val="2"/>
        </w:numPr>
        <w:spacing w:after="40" w:before="40"/>
      </w:pPr>
      <w:r>
        <w:rPr>
          <w:rFonts w:ascii="Arial" w:cs="Arial" w:eastAsia="Arial" w:hAnsi="Arial"/>
          <w:color w:val="1F2A24"/>
          <w:sz w:val="22"/>
          <w:szCs w:val="22"/>
        </w:rPr>
        <w:t xml:space="preserve">Reducción de castigos por mejor control de calidad en acopio: ahorro potencial estimado en $5–$15 USD por camión revisado (dato pendiente de validación con operadores reales).</w:t>
      </w:r>
    </w:p>
    <w:p>
      <w:pPr>
        <w:pStyle w:val="ListParagraph"/>
        <w:numPr>
          <w:ilvl w:val="0"/>
          <w:numId w:val="2"/>
        </w:numPr>
        <w:spacing w:after="40" w:before="40"/>
      </w:pPr>
      <w:r>
        <w:rPr>
          <w:rFonts w:ascii="Arial" w:cs="Arial" w:eastAsia="Arial" w:hAnsi="Arial"/>
          <w:color w:val="1F2A24"/>
          <w:sz w:val="22"/>
          <w:szCs w:val="22"/>
        </w:rPr>
        <w:t xml:space="preserve">Optimización de costos de campaña: identificar insumos redundantes o costos por encima del punto de equilibrio.</w:t>
      </w:r>
    </w:p>
    <w:p>
      <w:pPr>
        <w:pStyle w:val="ListParagraph"/>
        <w:numPr>
          <w:ilvl w:val="0"/>
          <w:numId w:val="2"/>
        </w:numPr>
        <w:spacing w:after="40" w:before="40"/>
      </w:pPr>
      <w:r>
        <w:rPr>
          <w:rFonts w:ascii="Arial" w:cs="Arial" w:eastAsia="Arial" w:hAnsi="Arial"/>
          <w:color w:val="1F2A24"/>
          <w:sz w:val="22"/>
          <w:szCs w:val="22"/>
        </w:rPr>
        <w:t xml:space="preserve">Reducción de tiempo de recepción en silo: estandarización del proceso de evaluación visual.</w:t>
      </w:r>
    </w:p>
    <w:p>
      <w:pPr>
        <w:pStyle w:val="ListParagraph"/>
        <w:numPr>
          <w:ilvl w:val="0"/>
          <w:numId w:val="2"/>
        </w:numPr>
        <w:spacing w:after="40" w:before="40"/>
      </w:pPr>
      <w:r>
        <w:rPr>
          <w:rFonts w:ascii="Arial" w:cs="Arial" w:eastAsia="Arial" w:hAnsi="Arial"/>
          <w:color w:val="1F2A24"/>
          <w:sz w:val="22"/>
          <w:szCs w:val="22"/>
        </w:rPr>
        <w:t xml:space="preserve">Trazabilidad como activo negociable: datos históricos de calidad por productor y zona con potencial valor para financiamiento agrícola.</w:t>
      </w:r>
    </w:p>
    <w:p>
      <w:r>
        <w:br w:type="page"/>
      </w:r>
    </w:p>
    <w:p>
      <w:pPr>
        <w:pStyle w:val="Heading1"/>
        <w:spacing w:after="120" w:before="360"/>
      </w:pPr>
      <w:r>
        <w:rPr>
          <w:rFonts w:ascii="Arial" w:cs="Arial" w:eastAsia="Arial" w:hAnsi="Arial"/>
          <w:b/>
          <w:bCs/>
          <w:color w:val="064E2E"/>
          <w:sz w:val="32"/>
          <w:szCs w:val="32"/>
        </w:rPr>
        <w:t xml:space="preserve">17. Impacto Esperado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Dimensión</w:t>
            </w:r>
          </w:p>
        </w:tc>
        <w:tc>
          <w:tcPr>
            <w:tcW w:type="dxa" w:w="756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Impacto esperado</w:t>
            </w:r>
          </w:p>
        </w:tc>
      </w:tr>
      <w:tr>
        <w:tc>
          <w:tcPr>
            <w:tcW w:type="dxa" w:w="18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Productivo</w:t>
            </w:r>
          </w:p>
        </w:tc>
        <w:tc>
          <w:tcPr>
            <w:tcW w:type="dxa" w:w="75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Mejora en la gestión de campañas agrícolas: registro sistemático de costos, insumos y actividades. El agricultor puede comparar rentabilidad entre campañas y tomar mejores decisiones de siembra.</w:t>
            </w:r>
          </w:p>
        </w:tc>
      </w:tr>
      <w:tr>
        <w:tc>
          <w:tcPr>
            <w:tcW w:type="dxa" w:w="18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Económico</w:t>
            </w:r>
          </w:p>
        </w:tc>
        <w:tc>
          <w:tcPr>
            <w:tcW w:type="dxa" w:w="75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Reducción de castigos por calidad en acopio gracias a una evaluación más objetiva y trazable. Acceso a herramientas de cálculo de rentabilidad sin costo para el productor pequeño y mediano.</w:t>
            </w:r>
          </w:p>
        </w:tc>
      </w:tr>
      <w:tr>
        <w:tc>
          <w:tcPr>
            <w:tcW w:type="dxa" w:w="18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Tecnológico</w:t>
            </w:r>
          </w:p>
        </w:tc>
        <w:tc>
          <w:tcPr>
            <w:tcW w:type="dxa" w:w="75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Validación del uso de IA visual (Gemini API) en un flujo agroindustrial real. Demostración de que el stack PWA + Firebase + Gemini es viable para soluciones agrícolas en Bolivia.</w:t>
            </w:r>
          </w:p>
        </w:tc>
      </w:tr>
      <w:tr>
        <w:tc>
          <w:tcPr>
            <w:tcW w:type="dxa" w:w="18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Social</w:t>
            </w:r>
          </w:p>
        </w:tc>
        <w:tc>
          <w:tcPr>
            <w:tcW w:type="dxa" w:w="75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Mayor equidad de acceso a herramientas digitales para agricultores de la cadena soyera. Reducción de la subjetividad en la evaluación de calidad de grano en acopio.</w:t>
            </w:r>
          </w:p>
        </w:tc>
      </w:tr>
      <w:tr>
        <w:tc>
          <w:tcPr>
            <w:tcW w:type="dxa" w:w="18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Ambiental</w:t>
            </w:r>
          </w:p>
        </w:tc>
        <w:tc>
          <w:tcPr>
            <w:tcW w:type="dxa" w:w="75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Datos históricos de plagas, lluvias y rendimientos por zona pueden contribuir a análisis de sostenibilidad del cultivo y adaptación al cambio climático a mediano plazo.</w:t>
            </w:r>
          </w:p>
        </w:tc>
      </w:tr>
      <w:tr>
        <w:tc>
          <w:tcPr>
            <w:tcW w:type="dxa" w:w="18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Institucional</w:t>
            </w:r>
          </w:p>
        </w:tc>
        <w:tc>
          <w:tcPr>
            <w:tcW w:type="dxa" w:w="75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Potencial articulación con ANAPO, CAO, SENASAG y el Ministerio de Desarrollo Rural para escalar la solución como herramienta de apoyo sectorial.</w:t>
            </w:r>
          </w:p>
        </w:tc>
      </w:tr>
    </w:tbl>
    <w:p>
      <w:r>
        <w:br w:type="page"/>
      </w:r>
    </w:p>
    <w:p>
      <w:pPr>
        <w:pStyle w:val="Heading1"/>
        <w:spacing w:after="120" w:before="360"/>
      </w:pPr>
      <w:r>
        <w:rPr>
          <w:rFonts w:ascii="Arial" w:cs="Arial" w:eastAsia="Arial" w:hAnsi="Arial"/>
          <w:b/>
          <w:bCs/>
          <w:color w:val="064E2E"/>
          <w:sz w:val="32"/>
          <w:szCs w:val="32"/>
        </w:rPr>
        <w:t xml:space="preserve">18. Escalabilidad y Sostenibilidad</w:t>
      </w:r>
    </w:p>
    <w:p>
      <w:pPr>
        <w:pStyle w:val="Heading2"/>
        <w:spacing w:after="80" w:before="240"/>
      </w:pPr>
      <w:r>
        <w:rPr>
          <w:rFonts w:ascii="Arial" w:cs="Arial" w:eastAsia="Arial" w:hAnsi="Arial"/>
          <w:b/>
          <w:bCs/>
          <w:color w:val="008C45"/>
          <w:sz w:val="26"/>
          <w:szCs w:val="26"/>
        </w:rPr>
        <w:t xml:space="preserve">18.1 Escalabilidad Técnica</w:t>
      </w:r>
    </w:p>
    <w:p>
      <w:pPr>
        <w:pStyle w:val="ListParagraph"/>
        <w:numPr>
          <w:ilvl w:val="0"/>
          <w:numId w:val="2"/>
        </w:numPr>
        <w:spacing w:after="40" w:before="40"/>
      </w:pPr>
      <w:r>
        <w:rPr>
          <w:rFonts w:ascii="Arial" w:cs="Arial" w:eastAsia="Arial" w:hAnsi="Arial"/>
          <w:color w:val="1F2A24"/>
          <w:sz w:val="22"/>
          <w:szCs w:val="22"/>
        </w:rPr>
        <w:t xml:space="preserve">Firestore escala automáticamente con el volumen de datos y usuarios sin cambios en la arquitectura.</w:t>
      </w:r>
    </w:p>
    <w:p>
      <w:pPr>
        <w:pStyle w:val="ListParagraph"/>
        <w:numPr>
          <w:ilvl w:val="0"/>
          <w:numId w:val="2"/>
        </w:numPr>
        <w:spacing w:after="40" w:before="40"/>
      </w:pPr>
      <w:r>
        <w:rPr>
          <w:rFonts w:ascii="Arial" w:cs="Arial" w:eastAsia="Arial" w:hAnsi="Arial"/>
          <w:color w:val="1F2A24"/>
          <w:sz w:val="22"/>
          <w:szCs w:val="22"/>
        </w:rPr>
        <w:t xml:space="preserve">El modelo PWA permite agregar capacidades nativas (notificaciones push, cámara, GPS) en fases posteriores.</w:t>
      </w:r>
    </w:p>
    <w:p>
      <w:pPr>
        <w:pStyle w:val="ListParagraph"/>
        <w:numPr>
          <w:ilvl w:val="0"/>
          <w:numId w:val="2"/>
        </w:numPr>
        <w:spacing w:after="40" w:before="40"/>
      </w:pPr>
      <w:r>
        <w:rPr>
          <w:rFonts w:ascii="Arial" w:cs="Arial" w:eastAsia="Arial" w:hAnsi="Arial"/>
          <w:color w:val="1F2A24"/>
          <w:sz w:val="22"/>
          <w:szCs w:val="22"/>
        </w:rPr>
        <w:t xml:space="preserve">La arquitectura sin backend propio elimina cuellos de botella y reduce costos de infraestructura.</w:t>
      </w:r>
    </w:p>
    <w:p>
      <w:pPr>
        <w:pStyle w:val="ListParagraph"/>
        <w:numPr>
          <w:ilvl w:val="0"/>
          <w:numId w:val="2"/>
        </w:numPr>
        <w:spacing w:after="40" w:before="40"/>
      </w:pPr>
      <w:r>
        <w:rPr>
          <w:rFonts w:ascii="Arial" w:cs="Arial" w:eastAsia="Arial" w:hAnsi="Arial"/>
          <w:color w:val="1F2A24"/>
          <w:sz w:val="22"/>
          <w:szCs w:val="22"/>
        </w:rPr>
        <w:t xml:space="preserve">Gemini API puede actualizarse a modelos más precisos sin cambios en la integración.</w:t>
      </w:r>
    </w:p>
    <w:p>
      <w:pPr>
        <w:pStyle w:val="Heading2"/>
        <w:spacing w:after="80" w:before="240"/>
      </w:pPr>
      <w:r>
        <w:rPr>
          <w:rFonts w:ascii="Arial" w:cs="Arial" w:eastAsia="Arial" w:hAnsi="Arial"/>
          <w:b/>
          <w:bCs/>
          <w:color w:val="008C45"/>
          <w:sz w:val="26"/>
          <w:szCs w:val="26"/>
        </w:rPr>
        <w:t xml:space="preserve">18.2 Escalabilidad Funcional</w:t>
      </w:r>
    </w:p>
    <w:p>
      <w:pPr>
        <w:pStyle w:val="ListParagraph"/>
        <w:numPr>
          <w:ilvl w:val="0"/>
          <w:numId w:val="2"/>
        </w:numPr>
        <w:spacing w:after="40" w:before="40"/>
      </w:pPr>
      <w:r>
        <w:rPr>
          <w:rFonts w:ascii="Arial" w:cs="Arial" w:eastAsia="Arial" w:hAnsi="Arial"/>
          <w:color w:val="1F2A24"/>
          <w:sz w:val="22"/>
          <w:szCs w:val="22"/>
        </w:rPr>
        <w:t xml:space="preserve">El modelo campo-acopio puede replicarse para maíz, girasol, sorgo, trigo y otros cultivos cruceños con ajustes menores de configuración.</w:t>
      </w:r>
    </w:p>
    <w:p>
      <w:pPr>
        <w:pStyle w:val="ListParagraph"/>
        <w:numPr>
          <w:ilvl w:val="0"/>
          <w:numId w:val="2"/>
        </w:numPr>
        <w:spacing w:after="40" w:before="40"/>
      </w:pPr>
      <w:r>
        <w:rPr>
          <w:rFonts w:ascii="Arial" w:cs="Arial" w:eastAsia="Arial" w:hAnsi="Arial"/>
          <w:color w:val="1F2A24"/>
          <w:sz w:val="22"/>
          <w:szCs w:val="22"/>
        </w:rPr>
        <w:t xml:space="preserve">El módulo de análisis IA puede mejorarse con un dataset propio de imágenes de soya boliviana para mayor precisión local.</w:t>
      </w:r>
    </w:p>
    <w:p>
      <w:pPr>
        <w:pStyle w:val="ListParagraph"/>
        <w:numPr>
          <w:ilvl w:val="0"/>
          <w:numId w:val="2"/>
        </w:numPr>
        <w:spacing w:after="40" w:before="40"/>
      </w:pPr>
      <w:r>
        <w:rPr>
          <w:rFonts w:ascii="Arial" w:cs="Arial" w:eastAsia="Arial" w:hAnsi="Arial"/>
          <w:color w:val="1F2A24"/>
          <w:sz w:val="22"/>
          <w:szCs w:val="22"/>
        </w:rPr>
        <w:t xml:space="preserve">Integración futura con hardware: medidores de humedad automáticos (vía MQTT/API), cámaras industriales y PLC para automatizar la captura de muestra.</w:t>
      </w:r>
    </w:p>
    <w:p>
      <w:pPr>
        <w:pStyle w:val="Heading2"/>
        <w:spacing w:after="80" w:before="240"/>
      </w:pPr>
      <w:r>
        <w:rPr>
          <w:rFonts w:ascii="Arial" w:cs="Arial" w:eastAsia="Arial" w:hAnsi="Arial"/>
          <w:b/>
          <w:bCs/>
          <w:color w:val="008C45"/>
          <w:sz w:val="26"/>
          <w:szCs w:val="26"/>
        </w:rPr>
        <w:t xml:space="preserve">18.3 Sostenibilidad del Modelo</w:t>
      </w:r>
    </w:p>
    <w:p>
      <w:pPr>
        <w:spacing w:after="120" w:before="60"/>
      </w:pPr>
      <w:r>
        <w:rPr>
          <w:rFonts w:ascii="Arial" w:cs="Arial" w:eastAsia="Arial" w:hAnsi="Arial"/>
          <w:color w:val="1F2A24"/>
          <w:sz w:val="22"/>
          <w:szCs w:val="22"/>
        </w:rPr>
        <w:t xml:space="preserve">El modelo SaaS para operadores de acopio (pago por volumen de lotes o suscripción mensual) es el camino más viable de monetización, ya que los silos e industrias tienen mayor capacidad de inversión y una necesidad más urgente de trazabilidad.</w:t>
      </w:r>
    </w:p>
    <w:p>
      <w:pPr>
        <w:spacing w:after="120" w:before="60"/>
      </w:pPr>
      <w:r>
        <w:rPr>
          <w:rFonts w:ascii="Arial" w:cs="Arial" w:eastAsia="Arial" w:hAnsi="Arial"/>
          <w:color w:val="1F2A24"/>
          <w:sz w:val="22"/>
          <w:szCs w:val="22"/>
        </w:rPr>
        <w:t xml:space="preserve">El Modo Campo puede ofrecerse en un nivel básico gratuito como estrategia de adquisición de usuarios y diferenciación social, con funcionalidades premium para usuarios con mayor volumen de campañas o necesidades de exportación de datos.</w:t>
      </w:r>
    </w:p>
    <w:p>
      <w:r>
        <w:br w:type="page"/>
      </w:r>
    </w:p>
    <w:p>
      <w:pPr>
        <w:pStyle w:val="Heading1"/>
        <w:spacing w:after="120" w:before="360"/>
      </w:pPr>
      <w:r>
        <w:rPr>
          <w:rFonts w:ascii="Arial" w:cs="Arial" w:eastAsia="Arial" w:hAnsi="Arial"/>
          <w:b/>
          <w:bCs/>
          <w:color w:val="064E2E"/>
          <w:sz w:val="32"/>
          <w:szCs w:val="32"/>
        </w:rPr>
        <w:t xml:space="preserve">19. Riesgos, Restricciones y Plan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rPr>
          <w:tblHeader/>
        </w:trPr>
        <w:tc>
          <w:tcPr>
            <w:tcW w:type="dxa" w:w="220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Riesgo</w:t>
            </w:r>
          </w:p>
        </w:tc>
        <w:tc>
          <w:tcPr>
            <w:tcW w:type="dxa" w:w="120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Probabilidad</w:t>
            </w:r>
          </w:p>
        </w:tc>
        <w:tc>
          <w:tcPr>
            <w:tcW w:type="dxa" w:w="120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Impacto</w:t>
            </w:r>
          </w:p>
        </w:tc>
        <w:tc>
          <w:tcPr>
            <w:tcW w:type="dxa" w:w="476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Plan B / Mitigación</w:t>
            </w:r>
          </w:p>
        </w:tc>
      </w:tr>
      <w:tr>
        <w:tc>
          <w:tcPr>
            <w:tcW w:type="dxa" w:w="22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Límite de uso de Gemini API free tier durante demo</w:t>
            </w:r>
          </w:p>
        </w:tc>
        <w:tc>
          <w:tcPr>
            <w:tcW w:type="dxa" w:w="12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Media</w:t>
            </w:r>
          </w:p>
        </w:tc>
        <w:tc>
          <w:tcPr>
            <w:tcW w:type="dxa" w:w="12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Alto</w:t>
            </w:r>
          </w:p>
        </w:tc>
        <w:tc>
          <w:tcPr>
            <w:tcW w:type="dxa" w:w="47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Usar respuestas mockeadas/precargadas para demo estable. Las imágenes reales funcionan en condiciones normales.</w:t>
            </w:r>
          </w:p>
        </w:tc>
      </w:tr>
      <w:tr>
        <w:tc>
          <w:tcPr>
            <w:tcW w:type="dxa" w:w="22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Conectividad inestable en demo</w:t>
            </w:r>
          </w:p>
        </w:tc>
        <w:tc>
          <w:tcPr>
            <w:tcW w:type="dxa" w:w="12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Media</w:t>
            </w:r>
          </w:p>
        </w:tc>
        <w:tc>
          <w:tcPr>
            <w:tcW w:type="dxa" w:w="12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Alto</w:t>
            </w:r>
          </w:p>
        </w:tc>
        <w:tc>
          <w:tcPr>
            <w:tcW w:type="dxa" w:w="47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Datos demo/mock offline permiten el flujo completo sin red.</w:t>
            </w:r>
          </w:p>
        </w:tc>
      </w:tr>
      <w:tr>
        <w:tc>
          <w:tcPr>
            <w:tcW w:type="dxa" w:w="22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Dataset visual insuficiente para resultados precisos</w:t>
            </w:r>
          </w:p>
        </w:tc>
        <w:tc>
          <w:tcPr>
            <w:tcW w:type="dxa" w:w="12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Alta</w:t>
            </w:r>
          </w:p>
        </w:tc>
        <w:tc>
          <w:tcPr>
            <w:tcW w:type="dxa" w:w="12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Medio</w:t>
            </w:r>
          </w:p>
        </w:tc>
        <w:tc>
          <w:tcPr>
            <w:tcW w:type="dxa" w:w="47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El MVP presenta el análisis como orientativo; se clarifica que mejora con más datos.</w:t>
            </w:r>
          </w:p>
        </w:tc>
      </w:tr>
      <w:tr>
        <w:tc>
          <w:tcPr>
            <w:tcW w:type="dxa" w:w="22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Reglas de castigo incorrectas sin validación sectorial</w:t>
            </w:r>
          </w:p>
        </w:tc>
        <w:tc>
          <w:tcPr>
            <w:tcW w:type="dxa" w:w="12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Media</w:t>
            </w:r>
          </w:p>
        </w:tc>
        <w:tc>
          <w:tcPr>
            <w:tcW w:type="dxa" w:w="12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Medio</w:t>
            </w:r>
          </w:p>
        </w:tc>
        <w:tc>
          <w:tcPr>
            <w:tcW w:type="dxa" w:w="47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Presentar como propuesta sujeta a configuración por el operador del silo.</w:t>
            </w:r>
          </w:p>
        </w:tc>
      </w:tr>
      <w:tr>
        <w:tc>
          <w:tcPr>
            <w:tcW w:type="dxa" w:w="22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Baja adopción por baja alfabetización digital</w:t>
            </w:r>
          </w:p>
        </w:tc>
        <w:tc>
          <w:tcPr>
            <w:tcW w:type="dxa" w:w="12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Media</w:t>
            </w:r>
          </w:p>
        </w:tc>
        <w:tc>
          <w:tcPr>
            <w:tcW w:type="dxa" w:w="12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Alto</w:t>
            </w:r>
          </w:p>
        </w:tc>
        <w:tc>
          <w:tcPr>
            <w:tcW w:type="dxa" w:w="47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Interfaz simple, flujo paso a paso, soporte de técnico como mediador en adopción.</w:t>
            </w:r>
          </w:p>
        </w:tc>
      </w:tr>
      <w:tr>
        <w:tc>
          <w:tcPr>
            <w:tcW w:type="dxa" w:w="22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Cambio de precio/disponibilidad de Firebase</w:t>
            </w:r>
          </w:p>
        </w:tc>
        <w:tc>
          <w:tcPr>
            <w:tcW w:type="dxa" w:w="12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Baja</w:t>
            </w:r>
          </w:p>
        </w:tc>
        <w:tc>
          <w:tcPr>
            <w:tcW w:type="dxa" w:w="12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Medio</w:t>
            </w:r>
          </w:p>
        </w:tc>
        <w:tc>
          <w:tcPr>
            <w:tcW w:type="dxa" w:w="47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Arquitectura portable: Firestore puede reemplazarse por Supabase, PocketBase u otras alternativas open source.</w:t>
            </w:r>
          </w:p>
        </w:tc>
      </w:tr>
    </w:tbl>
    <w:p>
      <w:r>
        <w:br w:type="page"/>
      </w:r>
    </w:p>
    <w:p>
      <w:pPr>
        <w:pStyle w:val="Heading1"/>
        <w:spacing w:after="120" w:before="360"/>
      </w:pPr>
      <w:r>
        <w:rPr>
          <w:rFonts w:ascii="Arial" w:cs="Arial" w:eastAsia="Arial" w:hAnsi="Arial"/>
          <w:b/>
          <w:bCs/>
          <w:color w:val="064E2E"/>
          <w:sz w:val="32"/>
          <w:szCs w:val="32"/>
        </w:rPr>
        <w:t xml:space="preserve">20. Relación con Criterios de Evaluación del Jurado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3500"/>
        <w:gridCol w:w="2560"/>
      </w:tblGrid>
      <w:tr>
        <w:trPr>
          <w:tblHeader/>
        </w:trPr>
        <w:tc>
          <w:tcPr>
            <w:tcW w:type="dxa" w:w="240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Criterio del jurado</w:t>
            </w:r>
          </w:p>
        </w:tc>
        <w:tc>
          <w:tcPr>
            <w:tcW w:type="dxa" w:w="90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Puntaje</w:t>
            </w:r>
          </w:p>
        </w:tc>
        <w:tc>
          <w:tcPr>
            <w:tcW w:type="dxa" w:w="350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Cómo AgroSoya lo cumple</w:t>
            </w:r>
          </w:p>
        </w:tc>
        <w:tc>
          <w:tcPr>
            <w:tcW w:type="dxa" w:w="256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Sección del documento</w:t>
            </w:r>
          </w:p>
        </w:tc>
      </w:tr>
      <w:tr>
        <w:tc>
          <w:tcPr>
            <w:tcW w:type="dxa" w:w="24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Impacto y relevancia del problema</w:t>
            </w:r>
          </w:p>
        </w:tc>
        <w:tc>
          <w:tcPr>
            <w:tcW w:type="dxa" w:w="9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20 pts</w:t>
            </w:r>
          </w:p>
        </w:tc>
        <w:tc>
          <w:tcPr>
            <w:tcW w:type="dxa" w:w="3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Brecha digital en la cadena soyera cruceña, problema real y verificable con fuentes sectoriales</w:t>
            </w:r>
          </w:p>
        </w:tc>
        <w:tc>
          <w:tcPr>
            <w:tcW w:type="dxa" w:w="25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Secciones 3, 4 y 17</w:t>
            </w:r>
          </w:p>
        </w:tc>
      </w:tr>
      <w:tr>
        <w:tc>
          <w:tcPr>
            <w:tcW w:type="dxa" w:w="24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Calidad técnica de la IA</w:t>
            </w:r>
          </w:p>
        </w:tc>
        <w:tc>
          <w:tcPr>
            <w:tcW w:type="dxa" w:w="9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20 pts</w:t>
            </w:r>
          </w:p>
        </w:tc>
        <w:tc>
          <w:tcPr>
            <w:tcW w:type="dxa" w:w="35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Gemini API integrada funcionalmente para análisis visual de muestra de granos; flujo real de acopio</w:t>
            </w:r>
          </w:p>
        </w:tc>
        <w:tc>
          <w:tcPr>
            <w:tcW w:type="dxa" w:w="25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Sección 11</w:t>
            </w:r>
          </w:p>
        </w:tc>
      </w:tr>
      <w:tr>
        <w:tc>
          <w:tcPr>
            <w:tcW w:type="dxa" w:w="24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Innovación y creatividad</w:t>
            </w:r>
          </w:p>
        </w:tc>
        <w:tc>
          <w:tcPr>
            <w:tcW w:type="dxa" w:w="9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15 pts</w:t>
            </w:r>
          </w:p>
        </w:tc>
        <w:tc>
          <w:tcPr>
            <w:tcW w:type="dxa" w:w="3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Única plataforma que conecta campo y acopio para la cadena soyera en Bolivia; IA aplicada al flujo industrial</w:t>
            </w:r>
          </w:p>
        </w:tc>
        <w:tc>
          <w:tcPr>
            <w:tcW w:type="dxa" w:w="25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Secciones 6 y 18</w:t>
            </w:r>
          </w:p>
        </w:tc>
      </w:tr>
      <w:tr>
        <w:tc>
          <w:tcPr>
            <w:tcW w:type="dxa" w:w="24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Integración de API, agentes de IA, librerías</w:t>
            </w:r>
          </w:p>
        </w:tc>
        <w:tc>
          <w:tcPr>
            <w:tcW w:type="dxa" w:w="9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15 pts</w:t>
            </w:r>
          </w:p>
        </w:tc>
        <w:tc>
          <w:tcPr>
            <w:tcW w:type="dxa" w:w="35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Gemini Developer API, Firebase Auth, Firestore, Cloud Storage, Firebase Hosting integrados</w:t>
            </w:r>
          </w:p>
        </w:tc>
        <w:tc>
          <w:tcPr>
            <w:tcW w:type="dxa" w:w="25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Sección 10</w:t>
            </w:r>
          </w:p>
        </w:tc>
      </w:tr>
      <w:tr>
        <w:tc>
          <w:tcPr>
            <w:tcW w:type="dxa" w:w="24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Aplicación de FODA, PESTEL y Lean Canvas</w:t>
            </w:r>
          </w:p>
        </w:tc>
        <w:tc>
          <w:tcPr>
            <w:tcW w:type="dxa" w:w="9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10 pts</w:t>
            </w:r>
          </w:p>
        </w:tc>
        <w:tc>
          <w:tcPr>
            <w:tcW w:type="dxa" w:w="3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Análisis completos incluidos en el documento técnico</w:t>
            </w:r>
          </w:p>
        </w:tc>
        <w:tc>
          <w:tcPr>
            <w:tcW w:type="dxa" w:w="25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Secciones 13, 14 y 15</w:t>
            </w:r>
          </w:p>
        </w:tc>
      </w:tr>
      <w:tr>
        <w:tc>
          <w:tcPr>
            <w:tcW w:type="dxa" w:w="24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Escalabilidad y sostenibilidad</w:t>
            </w:r>
          </w:p>
        </w:tc>
        <w:tc>
          <w:tcPr>
            <w:tcW w:type="dxa" w:w="9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10 pts</w:t>
            </w:r>
          </w:p>
        </w:tc>
        <w:tc>
          <w:tcPr>
            <w:tcW w:type="dxa" w:w="35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Modelo SaaS viable, arquitectura escalable, expansión a otros cultivos documentada</w:t>
            </w:r>
          </w:p>
        </w:tc>
        <w:tc>
          <w:tcPr>
            <w:tcW w:type="dxa" w:w="25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Sección 18</w:t>
            </w:r>
          </w:p>
        </w:tc>
      </w:tr>
      <w:tr>
        <w:tc>
          <w:tcPr>
            <w:tcW w:type="dxa" w:w="24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Calidad del pitch y presentación</w:t>
            </w:r>
          </w:p>
        </w:tc>
        <w:tc>
          <w:tcPr>
            <w:tcW w:type="dxa" w:w="9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10 pts</w:t>
            </w:r>
          </w:p>
        </w:tc>
        <w:tc>
          <w:tcPr>
            <w:tcW w:type="dxa" w:w="3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Flujo de demo sólido y demostrable; resumen ejecutivo claro; estructura de pitch alineada a lineamientos</w:t>
            </w:r>
          </w:p>
        </w:tc>
        <w:tc>
          <w:tcPr>
            <w:tcW w:type="dxa" w:w="25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Secciones 1 y 21</w:t>
            </w:r>
          </w:p>
        </w:tc>
      </w:tr>
      <w:tr>
        <w:tc>
          <w:tcPr>
            <w:tcW w:type="dxa" w:w="24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Bonus (funcionalidad aplicable 100%)</w:t>
            </w:r>
          </w:p>
        </w:tc>
        <w:tc>
          <w:tcPr>
            <w:tcW w:type="dxa" w:w="9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+10 pts</w:t>
            </w:r>
          </w:p>
        </w:tc>
        <w:tc>
          <w:tcPr>
            <w:tcW w:type="dxa" w:w="35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Flujo de demo funcional end-to-end con datos reales o mock; PWA instalable en dispositivo</w:t>
            </w:r>
          </w:p>
        </w:tc>
        <w:tc>
          <w:tcPr>
            <w:tcW w:type="dxa" w:w="25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Sección 7</w:t>
            </w:r>
          </w:p>
        </w:tc>
      </w:tr>
    </w:tbl>
    <w:p>
      <w:r>
        <w:br w:type="page"/>
      </w:r>
    </w:p>
    <w:p>
      <w:pPr>
        <w:pStyle w:val="Heading1"/>
        <w:spacing w:after="120" w:before="360"/>
      </w:pPr>
      <w:r>
        <w:rPr>
          <w:rFonts w:ascii="Arial" w:cs="Arial" w:eastAsia="Arial" w:hAnsi="Arial"/>
          <w:b/>
          <w:bCs/>
          <w:color w:val="064E2E"/>
          <w:sz w:val="32"/>
          <w:szCs w:val="32"/>
        </w:rPr>
        <w:t xml:space="preserve">21. Conclusiones</w:t>
      </w:r>
    </w:p>
    <w:p>
      <w:pPr>
        <w:spacing w:after="120" w:before="60"/>
      </w:pPr>
      <w:r>
        <w:rPr>
          <w:rFonts w:ascii="Arial" w:cs="Arial" w:eastAsia="Arial" w:hAnsi="Arial"/>
          <w:color w:val="1F2A24"/>
          <w:sz w:val="22"/>
          <w:szCs w:val="22"/>
        </w:rPr>
        <w:t xml:space="preserve">AgroSoya responde a una brecha digital real y verificable en la cadena soyera de Santa Cruz de la Sierra. El proyecto no es una solución teórica; es un prototipo funcional con un flujo demostrable que va desde el ingreso del lote en acopio hasta el reporte final, pasando por el análisis visual con inteligencia artificial.</w:t>
      </w:r>
    </w:p>
    <w:p>
      <w:pPr>
        <w:spacing w:after="120" w:before="60"/>
      </w:pPr>
      <w:r>
        <w:rPr>
          <w:rFonts w:ascii="Arial" w:cs="Arial" w:eastAsia="Arial" w:hAnsi="Arial"/>
          <w:color w:val="1F2A24"/>
          <w:sz w:val="22"/>
          <w:szCs w:val="22"/>
        </w:rPr>
        <w:t xml:space="preserve">El uso de Gemini API como núcleo de análisis visual cumple el criterio de aplicación real de IA: no es un adorno, es el componente que convierte un flujo manual y subjetivo en uno digital, estructurado y trazable. La claridad sobre lo que la IA hace y lo que no (la humedad se ingresa manualmente) fortalece la credibilidad técnica del proyecto.</w:t>
      </w:r>
    </w:p>
    <w:p>
      <w:pPr>
        <w:spacing w:after="120" w:before="60"/>
      </w:pPr>
      <w:r>
        <w:rPr>
          <w:rFonts w:ascii="Arial" w:cs="Arial" w:eastAsia="Arial" w:hAnsi="Arial"/>
          <w:color w:val="1F2A24"/>
          <w:sz w:val="22"/>
          <w:szCs w:val="22"/>
        </w:rPr>
        <w:t xml:space="preserve">El stack tecnológico elegido (React + Firebase + Gemini) es viable, gratuito en sus niveles de uso del MVP y escalable hacia un producto real. La arquitectura PWA responde a las condiciones reales de conectividad del campo cruceño.</w:t>
      </w:r>
    </w:p>
    <w:p>
      <w:pPr>
        <w:spacing w:after="120" w:before="60"/>
      </w:pPr>
      <w:r>
        <w:rPr>
          <w:rFonts w:ascii="Arial" w:cs="Arial" w:eastAsia="Arial" w:hAnsi="Arial"/>
          <w:color w:val="1F2A24"/>
          <w:sz w:val="22"/>
          <w:szCs w:val="22"/>
        </w:rPr>
        <w:t xml:space="preserve">AgroSoya está correctamente inscrito en la mención AGRO, con un problema situado en Santa Cruz, usuarios identificados y un impacto productivo, económico, tecnológico y social concreto. El documento cumple con todos los entregables obligatorios de la Hackathon Build With AI 2026.</w:t>
      </w:r>
    </w:p>
    <w:p>
      <w:r>
        <w:br w:type="page"/>
      </w:r>
    </w:p>
    <w:p>
      <w:pPr>
        <w:pStyle w:val="Heading1"/>
        <w:spacing w:after="120" w:before="360"/>
      </w:pPr>
      <w:r>
        <w:rPr>
          <w:rFonts w:ascii="Arial" w:cs="Arial" w:eastAsia="Arial" w:hAnsi="Arial"/>
          <w:b/>
          <w:bCs/>
          <w:color w:val="064E2E"/>
          <w:sz w:val="32"/>
          <w:szCs w:val="32"/>
        </w:rPr>
        <w:t xml:space="preserve">22. Próximos Pasos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400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Acción</w:t>
            </w:r>
          </w:p>
        </w:tc>
        <w:tc>
          <w:tcPr>
            <w:tcW w:type="dxa" w:w="336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Plazo estimado</w:t>
            </w:r>
          </w:p>
        </w:tc>
      </w:tr>
      <w:tr>
        <w:tc>
          <w:tcPr>
            <w:tcW w:type="dxa" w:w="20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Post-hackathon inmediato</w:t>
            </w:r>
          </w:p>
        </w:tc>
        <w:tc>
          <w:tcPr>
            <w:tcW w:type="dxa" w:w="40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Validación del flujo de castigo con al menos 2 operadores de silo reales</w:t>
            </w:r>
          </w:p>
        </w:tc>
        <w:tc>
          <w:tcPr>
            <w:tcW w:type="dxa" w:w="33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1–2 semanas</w:t>
            </w:r>
          </w:p>
        </w:tc>
      </w:tr>
      <w:tr>
        <w:tc>
          <w:tcPr>
            <w:tcW w:type="dxa" w:w="20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Fase 1 (1–3 meses)</w:t>
            </w:r>
          </w:p>
        </w:tc>
        <w:tc>
          <w:tcPr>
            <w:tcW w:type="dxa" w:w="40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Piloto con 1 silo y 5–10 productores en la campaña de verano 2026–2027</w:t>
            </w:r>
          </w:p>
        </w:tc>
        <w:tc>
          <w:tcPr>
            <w:tcW w:type="dxa" w:w="33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1–3 meses</w:t>
            </w:r>
          </w:p>
        </w:tc>
      </w:tr>
      <w:tr>
        <w:tc>
          <w:tcPr>
            <w:tcW w:type="dxa" w:w="20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Fase 1 (1–3 meses)</w:t>
            </w:r>
          </w:p>
        </w:tc>
        <w:tc>
          <w:tcPr>
            <w:tcW w:type="dxa" w:w="40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Construcción de dataset propio de imágenes de soya boliviana para fine-tuning</w:t>
            </w:r>
          </w:p>
        </w:tc>
        <w:tc>
          <w:tcPr>
            <w:tcW w:type="dxa" w:w="33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Paralelo al piloto</w:t>
            </w:r>
          </w:p>
        </w:tc>
      </w:tr>
      <w:tr>
        <w:tc>
          <w:tcPr>
            <w:tcW w:type="dxa" w:w="20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Fase 2 (3–6 meses)</w:t>
            </w:r>
          </w:p>
        </w:tc>
        <w:tc>
          <w:tcPr>
            <w:tcW w:type="dxa" w:w="40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Integración con medidores de humedad vía API o MQTT</w:t>
            </w:r>
          </w:p>
        </w:tc>
        <w:tc>
          <w:tcPr>
            <w:tcW w:type="dxa" w:w="33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3–6 meses</w:t>
            </w:r>
          </w:p>
        </w:tc>
      </w:tr>
      <w:tr>
        <w:tc>
          <w:tcPr>
            <w:tcW w:type="dxa" w:w="20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Fase 2 (3–6 meses)</w:t>
            </w:r>
          </w:p>
        </w:tc>
        <w:tc>
          <w:tcPr>
            <w:tcW w:type="dxa" w:w="40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Acercamiento a ANAPO y CAO para validación y alianza distribución</w:t>
            </w:r>
          </w:p>
        </w:tc>
        <w:tc>
          <w:tcPr>
            <w:tcW w:type="dxa" w:w="33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3–6 meses</w:t>
            </w:r>
          </w:p>
        </w:tc>
      </w:tr>
      <w:tr>
        <w:tc>
          <w:tcPr>
            <w:tcW w:type="dxa" w:w="20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Fase 3 (6–12 meses)</w:t>
            </w:r>
          </w:p>
        </w:tc>
        <w:tc>
          <w:tcPr>
            <w:tcW w:type="dxa" w:w="40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Expansión a maíz y girasol; modelo de suscripción SaaS operativo</w:t>
            </w:r>
          </w:p>
        </w:tc>
        <w:tc>
          <w:tcPr>
            <w:tcW w:type="dxa" w:w="33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6–12 meses</w:t>
            </w:r>
          </w:p>
        </w:tc>
      </w:tr>
      <w:tr>
        <w:tc>
          <w:tcPr>
            <w:tcW w:type="dxa" w:w="20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Fase 4 (12+ meses)</w:t>
            </w:r>
          </w:p>
        </w:tc>
        <w:tc>
          <w:tcPr>
            <w:tcW w:type="dxa" w:w="40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Integración con hardware industrial (cámaras, PLC, separadores automáticos)</w:t>
            </w:r>
          </w:p>
        </w:tc>
        <w:tc>
          <w:tcPr>
            <w:tcW w:type="dxa" w:w="33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12+ meses</w:t>
            </w:r>
          </w:p>
        </w:tc>
      </w:tr>
    </w:tbl>
    <w:p>
      <w:r>
        <w:br w:type="page"/>
      </w:r>
    </w:p>
    <w:p>
      <w:pPr>
        <w:pStyle w:val="Heading1"/>
        <w:spacing w:after="120" w:before="360"/>
      </w:pPr>
      <w:r>
        <w:rPr>
          <w:rFonts w:ascii="Arial" w:cs="Arial" w:eastAsia="Arial" w:hAnsi="Arial"/>
          <w:b/>
          <w:bCs/>
          <w:color w:val="064E2E"/>
          <w:sz w:val="32"/>
          <w:szCs w:val="32"/>
        </w:rPr>
        <w:t xml:space="preserve">23. Referencias</w:t>
      </w:r>
    </w:p>
    <w:p>
      <w:pPr>
        <w:pStyle w:val="Heading2"/>
        <w:spacing w:after="80" w:before="240"/>
      </w:pPr>
      <w:r>
        <w:rPr>
          <w:rFonts w:ascii="Arial" w:cs="Arial" w:eastAsia="Arial" w:hAnsi="Arial"/>
          <w:b/>
          <w:bCs/>
          <w:color w:val="008C45"/>
          <w:sz w:val="26"/>
          <w:szCs w:val="26"/>
        </w:rPr>
        <w:t xml:space="preserve">Fuentes Institucionales</w:t>
      </w:r>
    </w:p>
    <w:p>
      <w:pPr>
        <w:pStyle w:val="ListParagraph"/>
        <w:numPr>
          <w:ilvl w:val="0"/>
          <w:numId w:val="2"/>
        </w:numPr>
        <w:spacing w:after="40" w:before="40"/>
      </w:pPr>
      <w:r>
        <w:rPr>
          <w:rFonts w:ascii="Arial" w:cs="Arial" w:eastAsia="Arial" w:hAnsi="Arial"/>
          <w:color w:val="1F2A24"/>
          <w:sz w:val="22"/>
          <w:szCs w:val="22"/>
        </w:rPr>
        <w:t xml:space="preserve">ANAPO — Asociación de Productores de Oleaginosas y Trigo: https://www.anapobolivia.org</w:t>
      </w:r>
    </w:p>
    <w:p>
      <w:pPr>
        <w:pStyle w:val="ListParagraph"/>
        <w:numPr>
          <w:ilvl w:val="0"/>
          <w:numId w:val="2"/>
        </w:numPr>
        <w:spacing w:after="40" w:before="40"/>
      </w:pPr>
      <w:r>
        <w:rPr>
          <w:rFonts w:ascii="Arial" w:cs="Arial" w:eastAsia="Arial" w:hAnsi="Arial"/>
          <w:color w:val="1F2A24"/>
          <w:sz w:val="22"/>
          <w:szCs w:val="22"/>
        </w:rPr>
        <w:t xml:space="preserve">INE Bolivia — Instituto Nacional de Estadística: https://www.ine.gob.bo</w:t>
      </w:r>
    </w:p>
    <w:p>
      <w:pPr>
        <w:pStyle w:val="ListParagraph"/>
        <w:numPr>
          <w:ilvl w:val="0"/>
          <w:numId w:val="2"/>
        </w:numPr>
        <w:spacing w:after="40" w:before="40"/>
      </w:pPr>
      <w:r>
        <w:rPr>
          <w:rFonts w:ascii="Arial" w:cs="Arial" w:eastAsia="Arial" w:hAnsi="Arial"/>
          <w:color w:val="1F2A24"/>
          <w:sz w:val="22"/>
          <w:szCs w:val="22"/>
        </w:rPr>
        <w:t xml:space="preserve">IBCE — Instituto Boliviano de Comercio Exterior: https://ibce.org.bo</w:t>
      </w:r>
    </w:p>
    <w:p>
      <w:pPr>
        <w:pStyle w:val="ListParagraph"/>
        <w:numPr>
          <w:ilvl w:val="0"/>
          <w:numId w:val="2"/>
        </w:numPr>
        <w:spacing w:after="40" w:before="40"/>
      </w:pPr>
      <w:r>
        <w:rPr>
          <w:rFonts w:ascii="Arial" w:cs="Arial" w:eastAsia="Arial" w:hAnsi="Arial"/>
          <w:color w:val="1F2A24"/>
          <w:sz w:val="22"/>
          <w:szCs w:val="22"/>
        </w:rPr>
        <w:t xml:space="preserve">CAO — Cámara Agropecuaria del Oriente (Santa Cruz): https://www.cao.org.bo</w:t>
      </w:r>
    </w:p>
    <w:p>
      <w:pPr>
        <w:pStyle w:val="ListParagraph"/>
        <w:numPr>
          <w:ilvl w:val="0"/>
          <w:numId w:val="2"/>
        </w:numPr>
        <w:spacing w:after="40" w:before="40"/>
      </w:pPr>
      <w:r>
        <w:rPr>
          <w:rFonts w:ascii="Arial" w:cs="Arial" w:eastAsia="Arial" w:hAnsi="Arial"/>
          <w:color w:val="1F2A24"/>
          <w:sz w:val="22"/>
          <w:szCs w:val="22"/>
        </w:rPr>
        <w:t xml:space="preserve">SENASAG — Servicio Nacional de Sanidad Agropecuaria e Inocuidad Alimentaria: https://www.senasag.gob.bo</w:t>
      </w:r>
    </w:p>
    <w:p>
      <w:pPr>
        <w:pStyle w:val="ListParagraph"/>
        <w:numPr>
          <w:ilvl w:val="0"/>
          <w:numId w:val="2"/>
        </w:numPr>
        <w:spacing w:after="40" w:before="40"/>
      </w:pPr>
      <w:r>
        <w:rPr>
          <w:rFonts w:ascii="Arial" w:cs="Arial" w:eastAsia="Arial" w:hAnsi="Arial"/>
          <w:color w:val="1F2A24"/>
          <w:sz w:val="22"/>
          <w:szCs w:val="22"/>
        </w:rPr>
        <w:t xml:space="preserve">Ministerio de Desarrollo Rural y Tierras del Estado Plurinacional de Bolivia: https://www.mdrt.gob.bo</w:t>
      </w:r>
    </w:p>
    <w:p>
      <w:pPr>
        <w:pStyle w:val="ListParagraph"/>
        <w:numPr>
          <w:ilvl w:val="0"/>
          <w:numId w:val="2"/>
        </w:numPr>
        <w:spacing w:after="40" w:before="40"/>
      </w:pPr>
      <w:r>
        <w:rPr>
          <w:rFonts w:ascii="Arial" w:cs="Arial" w:eastAsia="Arial" w:hAnsi="Arial"/>
          <w:color w:val="1F2A24"/>
          <w:sz w:val="22"/>
          <w:szCs w:val="22"/>
        </w:rPr>
        <w:t xml:space="preserve">FAO — Organización de las Naciones Unidas para la Alimentación y la Agricultura: https://www.fao.org/bolivia</w:t>
      </w:r>
    </w:p>
    <w:p>
      <w:pPr>
        <w:pStyle w:val="ListParagraph"/>
        <w:numPr>
          <w:ilvl w:val="0"/>
          <w:numId w:val="2"/>
        </w:numPr>
        <w:spacing w:after="40" w:before="40"/>
      </w:pPr>
      <w:r>
        <w:rPr>
          <w:rFonts w:ascii="Arial" w:cs="Arial" w:eastAsia="Arial" w:hAnsi="Arial"/>
          <w:color w:val="1F2A24"/>
          <w:sz w:val="22"/>
          <w:szCs w:val="22"/>
        </w:rPr>
        <w:t xml:space="preserve">Banco Mundial — Datos Agropecuarios Bolivia: https://data.worldbank.org</w:t>
      </w:r>
    </w:p>
    <w:p>
      <w:pPr>
        <w:pStyle w:val="ListParagraph"/>
        <w:numPr>
          <w:ilvl w:val="0"/>
          <w:numId w:val="2"/>
        </w:numPr>
        <w:spacing w:after="40" w:before="40"/>
      </w:pPr>
      <w:r>
        <w:rPr>
          <w:rFonts w:ascii="Arial" w:cs="Arial" w:eastAsia="Arial" w:hAnsi="Arial"/>
          <w:color w:val="1F2A24"/>
          <w:sz w:val="22"/>
          <w:szCs w:val="22"/>
        </w:rPr>
        <w:t xml:space="preserve">CEPAL — Comisión Económica para América Latina y el Caribe: https://www.cepal.org</w:t>
      </w:r>
    </w:p>
    <w:p>
      <w:pPr>
        <w:pStyle w:val="Heading2"/>
        <w:spacing w:after="80" w:before="240"/>
      </w:pPr>
      <w:r>
        <w:rPr>
          <w:rFonts w:ascii="Arial" w:cs="Arial" w:eastAsia="Arial" w:hAnsi="Arial"/>
          <w:b/>
          <w:bCs/>
          <w:color w:val="008C45"/>
          <w:sz w:val="26"/>
          <w:szCs w:val="26"/>
        </w:rPr>
        <w:t xml:space="preserve">Documentación Técnica</w:t>
      </w:r>
    </w:p>
    <w:p>
      <w:pPr>
        <w:pStyle w:val="ListParagraph"/>
        <w:numPr>
          <w:ilvl w:val="0"/>
          <w:numId w:val="2"/>
        </w:numPr>
        <w:spacing w:after="40" w:before="40"/>
      </w:pPr>
      <w:r>
        <w:rPr>
          <w:rFonts w:ascii="Arial" w:cs="Arial" w:eastAsia="Arial" w:hAnsi="Arial"/>
          <w:color w:val="1F2A24"/>
          <w:sz w:val="22"/>
          <w:szCs w:val="22"/>
        </w:rPr>
        <w:t xml:space="preserve">Google Firebase Documentation: https://firebase.google.com/docs</w:t>
      </w:r>
    </w:p>
    <w:p>
      <w:pPr>
        <w:pStyle w:val="ListParagraph"/>
        <w:numPr>
          <w:ilvl w:val="0"/>
          <w:numId w:val="2"/>
        </w:numPr>
        <w:spacing w:after="40" w:before="40"/>
      </w:pPr>
      <w:r>
        <w:rPr>
          <w:rFonts w:ascii="Arial" w:cs="Arial" w:eastAsia="Arial" w:hAnsi="Arial"/>
          <w:color w:val="1F2A24"/>
          <w:sz w:val="22"/>
          <w:szCs w:val="22"/>
        </w:rPr>
        <w:t xml:space="preserve">Google Gemini API Documentation: https://ai.google.dev/docs</w:t>
      </w:r>
    </w:p>
    <w:p>
      <w:pPr>
        <w:pStyle w:val="ListParagraph"/>
        <w:numPr>
          <w:ilvl w:val="0"/>
          <w:numId w:val="2"/>
        </w:numPr>
        <w:spacing w:after="40" w:before="40"/>
      </w:pPr>
      <w:r>
        <w:rPr>
          <w:rFonts w:ascii="Arial" w:cs="Arial" w:eastAsia="Arial" w:hAnsi="Arial"/>
          <w:color w:val="1F2A24"/>
          <w:sz w:val="22"/>
          <w:szCs w:val="22"/>
        </w:rPr>
        <w:t xml:space="preserve">React + Vite Documentation: https://vitejs.dev</w:t>
      </w:r>
    </w:p>
    <w:p>
      <w:pPr>
        <w:pStyle w:val="ListParagraph"/>
        <w:numPr>
          <w:ilvl w:val="0"/>
          <w:numId w:val="2"/>
        </w:numPr>
        <w:spacing w:after="40" w:before="40"/>
      </w:pPr>
      <w:r>
        <w:rPr>
          <w:rFonts w:ascii="Arial" w:cs="Arial" w:eastAsia="Arial" w:hAnsi="Arial"/>
          <w:color w:val="1F2A24"/>
          <w:sz w:val="22"/>
          <w:szCs w:val="22"/>
        </w:rPr>
        <w:t xml:space="preserve">Tailwind CSS Documentation: https://tailwindcss.com/docs</w:t>
      </w:r>
    </w:p>
    <w:p>
      <w:pPr>
        <w:pStyle w:val="Heading2"/>
        <w:spacing w:after="80" w:before="240"/>
      </w:pPr>
      <w:r>
        <w:rPr>
          <w:rFonts w:ascii="Arial" w:cs="Arial" w:eastAsia="Arial" w:hAnsi="Arial"/>
          <w:b/>
          <w:bCs/>
          <w:color w:val="008C45"/>
          <w:sz w:val="26"/>
          <w:szCs w:val="26"/>
        </w:rPr>
        <w:t xml:space="preserve">Documentos del Proyecto</w:t>
      </w:r>
    </w:p>
    <w:p>
      <w:pPr>
        <w:pStyle w:val="ListParagraph"/>
        <w:numPr>
          <w:ilvl w:val="0"/>
          <w:numId w:val="2"/>
        </w:numPr>
        <w:spacing w:after="40" w:before="40"/>
      </w:pPr>
      <w:r>
        <w:rPr>
          <w:rFonts w:ascii="Arial" w:cs="Arial" w:eastAsia="Arial" w:hAnsi="Arial"/>
          <w:color w:val="1F2A24"/>
          <w:sz w:val="22"/>
          <w:szCs w:val="22"/>
        </w:rPr>
        <w:t xml:space="preserve">Build With AI 2026 — Lineamientos Completos V1 (documento oficial del evento, mayo 2026)</w:t>
      </w:r>
    </w:p>
    <w:p>
      <w:pPr>
        <w:pStyle w:val="ListParagraph"/>
        <w:numPr>
          <w:ilvl w:val="0"/>
          <w:numId w:val="2"/>
        </w:numPr>
        <w:spacing w:after="40" w:before="40"/>
      </w:pPr>
      <w:r>
        <w:rPr>
          <w:rFonts w:ascii="Arial" w:cs="Arial" w:eastAsia="Arial" w:hAnsi="Arial"/>
          <w:color w:val="1F2A24"/>
          <w:sz w:val="22"/>
          <w:szCs w:val="22"/>
        </w:rPr>
        <w:t xml:space="preserve">Documento de Gestión del Proyecto — Cadena Soyera Modo Campo + Modo Acopio (documento interno del equipo, mayo 2026)</w:t>
      </w:r>
    </w:p>
    <w:p>
      <w:pPr>
        <w:pStyle w:val="ListParagraph"/>
        <w:numPr>
          <w:ilvl w:val="0"/>
          <w:numId w:val="2"/>
        </w:numPr>
        <w:spacing w:after="40" w:before="40"/>
      </w:pPr>
      <w:r>
        <w:rPr>
          <w:rFonts w:ascii="Arial" w:cs="Arial" w:eastAsia="Arial" w:hAnsi="Arial"/>
          <w:color w:val="1F2A24"/>
          <w:sz w:val="22"/>
          <w:szCs w:val="22"/>
        </w:rPr>
        <w:t xml:space="preserve">Guía Visual y Estructura UI — SoyCampo (documento interno del equipo, mayo 2026)</w:t>
      </w:r>
    </w:p>
    <w:p>
      <w:r>
        <w:br w:type="page"/>
      </w:r>
    </w:p>
    <w:p>
      <w:pPr>
        <w:pStyle w:val="Heading1"/>
        <w:spacing w:after="120" w:before="360"/>
      </w:pPr>
      <w:r>
        <w:rPr>
          <w:rFonts w:ascii="Arial" w:cs="Arial" w:eastAsia="Arial" w:hAnsi="Arial"/>
          <w:b/>
          <w:bCs/>
          <w:color w:val="064E2E"/>
          <w:sz w:val="32"/>
          <w:szCs w:val="32"/>
        </w:rPr>
        <w:t xml:space="preserve">24. Anexos</w:t>
      </w:r>
    </w:p>
    <w:p>
      <w:pPr>
        <w:pStyle w:val="Heading2"/>
        <w:spacing w:after="80" w:before="240"/>
      </w:pPr>
      <w:r>
        <w:rPr>
          <w:rFonts w:ascii="Arial" w:cs="Arial" w:eastAsia="Arial" w:hAnsi="Arial"/>
          <w:b/>
          <w:bCs/>
          <w:color w:val="008C45"/>
          <w:sz w:val="26"/>
          <w:szCs w:val="26"/>
        </w:rPr>
        <w:t xml:space="preserve">Anexo A: Pantallas del Sistema (Esquemas ASCII)</w:t>
      </w:r>
    </w:p>
    <w:p>
      <w:pPr>
        <w:pStyle w:val="Heading3"/>
        <w:spacing w:after="60" w:before="160"/>
      </w:pPr>
      <w:r>
        <w:rPr>
          <w:rFonts w:ascii="Arial" w:cs="Arial" w:eastAsia="Arial" w:hAnsi="Arial"/>
          <w:b/>
          <w:bCs/>
          <w:color w:val="064E2E"/>
          <w:sz w:val="24"/>
          <w:szCs w:val="24"/>
        </w:rPr>
        <w:t xml:space="preserve">Pantalla Inicial</w:t>
      </w:r>
    </w:p>
    <w:p>
      <w:pPr>
        <w:spacing w:after="60" w:before="60"/>
      </w:pPr>
      <w:r>
        <w:rPr>
          <w:rFonts w:ascii="Courier New" w:cs="Courier New" w:eastAsia="Courier New" w:hAnsi="Courier New"/>
          <w:color w:val="064E2E"/>
          <w:sz w:val="18"/>
          <w:szCs w:val="18"/>
        </w:rPr>
        <w:t xml:space="preserve">+—————————————————————————————————————————————————————+
|                       AgroSoya                        |
|     Gestión inteligente de soya desde campo a acopio  |
+—————————————————————————————————————————————————————+
|                                                       |
|         Selecciona tu modo de trabajo                 |
|                                                       |
|   +———————————————————+  +———————————————————+       |
|   |   MODO CAMPO      |  |   MODO ACOPIO     |       |
|   | Agricultor/técnico|  | Industria / Silo  |       |
|   | Campaña, costos   |  | Calidad, humedad  |       |
|   | y rentabilidad    |  | y reporte         |       |
|   |   [ Ingresar ]    |  |   [ Ingresar ]    |       |
|   +———————————————————+  +———————————————————+       |
+—————————————————————————————————————————————————————+</w:t>
      </w:r>
    </w:p>
    <w:p>
      <w:pPr>
        <w:pStyle w:val="Heading3"/>
        <w:spacing w:after="60" w:before="160"/>
      </w:pPr>
      <w:r>
        <w:rPr>
          <w:rFonts w:ascii="Arial" w:cs="Arial" w:eastAsia="Arial" w:hAnsi="Arial"/>
          <w:b/>
          <w:bCs/>
          <w:color w:val="064E2E"/>
          <w:sz w:val="24"/>
          <w:szCs w:val="24"/>
        </w:rPr>
        <w:t xml:space="preserve">Resultado de Análisis IA</w:t>
      </w:r>
    </w:p>
    <w:p>
      <w:pPr>
        <w:spacing w:after="60" w:before="60"/>
      </w:pPr>
      <w:r>
        <w:rPr>
          <w:rFonts w:ascii="Courier New" w:cs="Courier New" w:eastAsia="Courier New" w:hAnsi="Courier New"/>
          <w:color w:val="064E2E"/>
          <w:sz w:val="18"/>
          <w:szCs w:val="18"/>
        </w:rPr>
        <w:t xml:space="preserve">+————————————————————————————————————————+
| Resultado de análisis IA               |
+————————————————————————————————————————+
| Lote: LOT-2026-0008                    |
| Imágenes analizadas: 5                 |
| Granos visibles estimados: 482         |
|                                        |
| Grano sano:        84 %               |
| Grano partido:      6 %               |
| Grano manchado:     5 %               |
| Impurezas visibles: 3 %               |
| Posible moho:       2 %               |
|                                        |
| Calidad visual estimada: B            |
| Riesgo visual: MEDIO                  |
|                                        |
|   [ Calcular castigo ]                |
+————————————————————————————————————————+</w:t>
      </w:r>
    </w:p>
    <w:p>
      <w:pPr>
        <w:spacing w:after="0" w:before="0"/>
      </w:pPr>
      <w:r>
        <w:t xml:space="preserve"/>
      </w:r>
    </w:p>
    <w:p>
      <w:pPr>
        <w:pStyle w:val="Heading2"/>
        <w:spacing w:after="80" w:before="240"/>
      </w:pPr>
      <w:r>
        <w:rPr>
          <w:rFonts w:ascii="Arial" w:cs="Arial" w:eastAsia="Arial" w:hAnsi="Arial"/>
          <w:b/>
          <w:bCs/>
          <w:color w:val="008C45"/>
          <w:sz w:val="26"/>
          <w:szCs w:val="26"/>
        </w:rPr>
        <w:t xml:space="preserve">Anexo B: Paleta de Colores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150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5360"/>
            <w:tcBorders>
              <w:top w:val="single" w:color="008C45" w:sz="1"/>
              <w:left w:val="single" w:color="008C45" w:sz="1"/>
              <w:bottom w:val="single" w:color="008C45" w:sz="1"/>
              <w:right w:val="single" w:color="008C45" w:sz="1"/>
            </w:tcBorders>
            <w:shd w:fill="064E2E" w:val="clear"/>
            <w:tcMar>
              <w:top w:type="dxa" w:w="80"/>
              <w:left w:type="dxa" w:w="120"/>
              <w:bottom w:type="dxa" w:w="80"/>
              <w:right w:type="dxa" w:w="120"/>
            </w:tcMar>
          </w:tcPr>
          <w:p>
            <w:r>
              <w:rPr>
                <w:rFonts w:ascii="Arial" w:cs="Arial" w:eastAsia="Arial" w:hAnsi="Arial"/>
                <w:b/>
                <w:bCs/>
                <w:color w:val="FFFFFF"/>
                <w:sz w:val="20"/>
                <w:szCs w:val="20"/>
              </w:rPr>
              <w:t xml:space="preserve">Uso</w:t>
            </w:r>
          </w:p>
        </w:tc>
      </w:tr>
      <w:tr>
        <w:tc>
          <w:tcPr>
            <w:tcW w:type="dxa" w:w="2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Verde institucional</w:t>
            </w:r>
          </w:p>
        </w:tc>
        <w:tc>
          <w:tcPr>
            <w:tcW w:type="dxa" w:w="1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#008C45</w:t>
            </w:r>
          </w:p>
        </w:tc>
        <w:tc>
          <w:tcPr>
            <w:tcW w:type="dxa" w:w="53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Botones principales, navegación, títulos destacados</w:t>
            </w:r>
          </w:p>
        </w:tc>
      </w:tr>
      <w:tr>
        <w:tc>
          <w:tcPr>
            <w:tcW w:type="dxa" w:w="25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Verde oscuro</w:t>
            </w:r>
          </w:p>
        </w:tc>
        <w:tc>
          <w:tcPr>
            <w:tcW w:type="dxa" w:w="15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#064E2E</w:t>
            </w:r>
          </w:p>
        </w:tc>
        <w:tc>
          <w:tcPr>
            <w:tcW w:type="dxa" w:w="53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Header, textos fuertes, footer</w:t>
            </w:r>
          </w:p>
        </w:tc>
      </w:tr>
      <w:tr>
        <w:tc>
          <w:tcPr>
            <w:tcW w:type="dxa" w:w="2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Verde claro</w:t>
            </w:r>
          </w:p>
        </w:tc>
        <w:tc>
          <w:tcPr>
            <w:tcW w:type="dxa" w:w="1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#F3F8F1</w:t>
            </w:r>
          </w:p>
        </w:tc>
        <w:tc>
          <w:tcPr>
            <w:tcW w:type="dxa" w:w="53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Fondos suaves, cards secundarias, Modo Campo</w:t>
            </w:r>
          </w:p>
        </w:tc>
      </w:tr>
      <w:tr>
        <w:tc>
          <w:tcPr>
            <w:tcW w:type="dxa" w:w="25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Dorado grano</w:t>
            </w:r>
          </w:p>
        </w:tc>
        <w:tc>
          <w:tcPr>
            <w:tcW w:type="dxa" w:w="15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#D6A03A</w:t>
            </w:r>
          </w:p>
        </w:tc>
        <w:tc>
          <w:tcPr>
            <w:tcW w:type="dxa" w:w="53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Acciones económicas, indicadores de valor, precio/castigo</w:t>
            </w:r>
          </w:p>
        </w:tc>
      </w:tr>
      <w:tr>
        <w:tc>
          <w:tcPr>
            <w:tcW w:type="dxa" w:w="2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Grafito</w:t>
            </w:r>
          </w:p>
        </w:tc>
        <w:tc>
          <w:tcPr>
            <w:tcW w:type="dxa" w:w="1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#1F2A24</w:t>
            </w:r>
          </w:p>
        </w:tc>
        <w:tc>
          <w:tcPr>
            <w:tcW w:type="dxa" w:w="53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Texto principal</w:t>
            </w:r>
          </w:p>
        </w:tc>
      </w:tr>
      <w:tr>
        <w:tc>
          <w:tcPr>
            <w:tcW w:type="dxa" w:w="25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Gris técnico</w:t>
            </w:r>
          </w:p>
        </w:tc>
        <w:tc>
          <w:tcPr>
            <w:tcW w:type="dxa" w:w="150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#5B665F</w:t>
            </w:r>
          </w:p>
        </w:tc>
        <w:tc>
          <w:tcPr>
            <w:tcW w:type="dxa" w:w="5360"/>
            <w:tcBorders>
              <w:top w:val="single" w:color="DDE7DD" w:sz="1"/>
              <w:left w:val="single" w:color="DDE7DD" w:sz="1"/>
              <w:bottom w:val="single" w:color="DDE7DD" w:sz="1"/>
              <w:right w:val="single" w:color="DDE7DD" w:sz="1"/>
            </w:tcBorders>
            <w:shd w:fill="F3F8F1" w:val="clear"/>
            <w:tcMar>
              <w:top w:type="dxa" w:w="80"/>
              <w:left w:type="dxa" w:w="120"/>
              <w:bottom w:type="dxa" w:w="80"/>
              <w:right w:type="dxa" w:w="120"/>
            </w:tcMar>
          </w:tcPr>
          <w:p>
            <w:r>
              <w:rPr>
                <w:rFonts w:ascii="Arial" w:cs="Arial" w:eastAsia="Arial" w:hAnsi="Arial"/>
                <w:color w:val="1F2A24"/>
                <w:sz w:val="20"/>
                <w:szCs w:val="20"/>
              </w:rPr>
              <w:t xml:space="preserve">Notas, etiquetas, descripciones</w:t>
            </w:r>
          </w:p>
        </w:tc>
      </w:tr>
      <w:tr>
        <w:tc>
          <w:tcPr>
            <w:tcW w:type="dxa" w:w="2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Borde claro</w:t>
            </w:r>
          </w:p>
        </w:tc>
        <w:tc>
          <w:tcPr>
            <w:tcW w:type="dxa" w:w="150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#DDE7DD</w:t>
            </w:r>
          </w:p>
        </w:tc>
        <w:tc>
          <w:tcPr>
            <w:tcW w:type="dxa" w:w="5360"/>
            <w:tcBorders>
              <w:top w:val="single" w:color="DDE7DD" w:sz="1"/>
              <w:left w:val="single" w:color="DDE7DD" w:sz="1"/>
              <w:bottom w:val="single" w:color="DDE7DD" w:sz="1"/>
              <w:right w:val="single" w:color="DDE7DD" w:sz="1"/>
            </w:tcBorders>
            <w:shd w:fill="FFFFFF" w:val="clear"/>
            <w:tcMar>
              <w:top w:type="dxa" w:w="80"/>
              <w:left w:type="dxa" w:w="120"/>
              <w:bottom w:type="dxa" w:w="80"/>
              <w:right w:type="dxa" w:w="120"/>
            </w:tcMar>
          </w:tcPr>
          <w:p>
            <w:r>
              <w:rPr>
                <w:rFonts w:ascii="Arial" w:cs="Arial" w:eastAsia="Arial" w:hAnsi="Arial"/>
                <w:color w:val="1F2A24"/>
                <w:sz w:val="20"/>
                <w:szCs w:val="20"/>
              </w:rPr>
              <w:t xml:space="preserve">Bordes de cards, inputs y divisiones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8C45" w:sz="4"/>
      </w:pBdr>
      <w:jc w:val="center"/>
    </w:pPr>
    <w:r>
      <w:rPr>
        <w:rFonts w:ascii="Arial" w:cs="Arial" w:eastAsia="Arial" w:hAnsi="Arial"/>
        <w:color w:val="5B665F"/>
        <w:sz w:val="18"/>
        <w:szCs w:val="18"/>
      </w:rPr>
      <w:t xml:space="preserve">AgroSoya — Plataforma de Gestión Soyera con IA  |  Página </w:t>
    </w:r>
    <w:r>
      <w:rPr>
        <w:rFonts w:ascii="Arial" w:cs="Arial" w:eastAsia="Arial" w:hAnsi="Arial"/>
        <w:color w:val="008C4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8C45" w:sz="6"/>
      </w:pBdr>
    </w:pPr>
    <w:r>
      <w:rPr>
        <w:rFonts w:ascii="Arial" w:cs="Arial" w:eastAsia="Arial" w:hAnsi="Arial"/>
        <w:color w:val="5B665F"/>
        <w:sz w:val="18"/>
        <w:szCs w:val="18"/>
      </w:rPr>
      <w:t xml:space="preserve">AgroSoya  |  Documento Técnico Oficial  |  Hackathon Build With AI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A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64E2E"/>
      <w:sz w:val="32"/>
      <w:szCs w:val="32"/>
    </w:rPr>
  </w:style>
  <w:style w:type="paragraph" w:styleId="Heading2">
    <w:name w:val="Heading 2"/>
    <w:basedOn w:val="Normal"/>
    <w:next w:val="Normal"/>
    <w:qFormat/>
    <w:pPr>
      <w:spacing w:after="80" w:before="240"/>
      <w:outlineLvl w:val="1"/>
    </w:pPr>
    <w:rPr>
      <w:rFonts w:ascii="Arial" w:cs="Arial" w:eastAsia="Arial" w:hAnsi="Arial"/>
      <w:b/>
      <w:bCs/>
      <w:color w:val="008C45"/>
      <w:sz w:val="26"/>
      <w:szCs w:val="26"/>
    </w:rPr>
  </w:style>
  <w:style w:type="paragraph" w:styleId="Heading3">
    <w:name w:val="Heading 3"/>
    <w:basedOn w:val="Normal"/>
    <w:next w:val="Normal"/>
    <w:qFormat/>
    <w:pPr>
      <w:spacing w:after="60" w:before="160"/>
      <w:outlineLvl w:val="2"/>
    </w:pPr>
    <w:rPr>
      <w:rFonts w:ascii="Arial" w:cs="Arial" w:eastAsia="Arial" w:hAnsi="Arial"/>
      <w:b/>
      <w:bCs/>
      <w:color w:val="064E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4abb2772d65cfa3d23f9fbaea9332a36f534b8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2026-05-31T05:16:26.830Z</dcterms:created>
  <dcterms:modified xsi:type="dcterms:W3CDTF">2026-05-31T05:16:26.843Z</dcterms:modified>
</cp:coreProperties>
</file>

<file path=docProps/custom.xml><?xml version="1.0" encoding="utf-8"?>
<Properties xmlns="http://schemas.openxmlformats.org/officeDocument/2006/custom-properties" xmlns:vt="http://schemas.openxmlformats.org/officeDocument/2006/docPropsVTypes"/>
</file>