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b w:val="1"/>
                <w:sz w:val="24"/>
                <w:szCs w:val="24"/>
              </w:rPr>
            </w:pPr>
            <w:r w:rsidDel="00000000" w:rsidR="00000000" w:rsidRPr="00000000">
              <w:rPr>
                <w:b w:val="1"/>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Si, la falta de comunicación con el cliente ha sido un factor importante, cuando la realización de la reunión fue posible con uno de los stakeholders, tuvimos que modificar el modelo de la base de datos.</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El uso de herramientas nuevas también fue un tanto perjudicial para el desarrollo, tuvimos que aprender cosas nuevas, mediante visualización de videos, documentación etc.</w:t>
            </w:r>
          </w:p>
          <w:p w:rsidR="00000000" w:rsidDel="00000000" w:rsidP="00000000" w:rsidRDefault="00000000" w:rsidRPr="00000000" w14:paraId="0000000D">
            <w:pPr>
              <w:jc w:val="both"/>
              <w:rPr>
                <w:color w:val="767171"/>
                <w:sz w:val="24"/>
                <w:szCs w:val="24"/>
              </w:rPr>
            </w:pPr>
            <w:r w:rsidDel="00000000" w:rsidR="00000000" w:rsidRPr="00000000">
              <w:rPr>
                <w:rtl w:val="0"/>
              </w:rPr>
            </w:r>
          </w:p>
          <w:p w:rsidR="00000000" w:rsidDel="00000000" w:rsidP="00000000" w:rsidRDefault="00000000" w:rsidRPr="00000000" w14:paraId="0000000E">
            <w:pPr>
              <w:ind w:left="0" w:firstLine="0"/>
              <w:jc w:val="both"/>
              <w:rPr>
                <w:b w:val="1"/>
                <w:color w:val="1f4e79"/>
              </w:rPr>
            </w:pPr>
            <w:r w:rsidDel="00000000" w:rsidR="00000000" w:rsidRPr="00000000">
              <w:rPr>
                <w:rtl w:val="0"/>
              </w:rPr>
            </w:r>
          </w:p>
          <w:p w:rsidR="00000000" w:rsidDel="00000000" w:rsidP="00000000" w:rsidRDefault="00000000" w:rsidRPr="00000000" w14:paraId="0000000F">
            <w:pPr>
              <w:ind w:left="0" w:firstLine="0"/>
              <w:jc w:val="both"/>
              <w:rPr>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1">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2">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3">
            <w:pPr>
              <w:jc w:val="both"/>
              <w:rPr>
                <w:b w:val="1"/>
                <w:color w:val="767171"/>
                <w:sz w:val="24"/>
                <w:szCs w:val="24"/>
              </w:rPr>
            </w:pPr>
            <w:r w:rsidDel="00000000" w:rsidR="00000000" w:rsidRPr="00000000">
              <w:rPr>
                <w:b w:val="1"/>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La modificación de la carta gantt es una opción, también podríamos cubrir los tiempos que creíamos prudente, con la implementación de trabajo en fines de semana.</w:t>
            </w:r>
          </w:p>
          <w:p w:rsidR="00000000" w:rsidDel="00000000" w:rsidP="00000000" w:rsidRDefault="00000000" w:rsidRPr="00000000" w14:paraId="00000015">
            <w:pPr>
              <w:jc w:val="both"/>
              <w:rPr>
                <w:color w:val="000000"/>
                <w:sz w:val="24"/>
                <w:szCs w:val="24"/>
              </w:rPr>
            </w:pPr>
            <w:r w:rsidDel="00000000" w:rsidR="00000000" w:rsidRPr="00000000">
              <w:rPr>
                <w:sz w:val="24"/>
                <w:szCs w:val="24"/>
                <w:rtl w:val="0"/>
              </w:rPr>
              <w:t xml:space="preserve">También podríamos realizar reuniones de manera más regular, donde los stakeholders estén al pendiente de los cambios del proyecto, y nosotros sepamos si vamos bien encaminados, o si se necesita realizar un cambio que no cumpla con las expectativas</w:t>
            </w:r>
            <w:r w:rsidDel="00000000" w:rsidR="00000000" w:rsidRPr="00000000">
              <w:rPr>
                <w:color w:val="000000"/>
                <w:sz w:val="24"/>
                <w:szCs w:val="24"/>
                <w:rtl w:val="0"/>
              </w:rPr>
              <w:t xml:space="preserve">.</w:t>
            </w:r>
          </w:p>
          <w:p w:rsidR="00000000" w:rsidDel="00000000" w:rsidP="00000000" w:rsidRDefault="00000000" w:rsidRPr="00000000" w14:paraId="00000016">
            <w:pPr>
              <w:ind w:left="0" w:firstLine="0"/>
              <w:jc w:val="both"/>
              <w:rPr>
                <w:color w:val="000000"/>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La verdad es que vamos bien, podríamos iniciar nuestro avance más temprano en la semana, lo cual nos ayudaría a pensar sobre nuestras decisiones en un tiempo prudente.</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Personalmente, podría </w:t>
            </w: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D">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4">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5">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rip3oeI3IECSSoVlOQNerTUp6Q==">CgMxLjAyCGguZ2pkZ3hzOAByITFfblp1SHdqSVpzQWdBaUg1MXFzeXF6dkZnam50cnJtbQ==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