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双港调度争夺比赛背景与总流程</w:t>
      </w:r>
    </w:p>
    <w:p>
      <w:r>
        <w:t>2026 年 9 月 21 日</w:t>
      </w:r>
    </w:p>
    <w:p>
      <w:r>
        <w:t>本方案说明首个 Demo 的故事、目标和比赛过程。首版沿用已确认的双队核心 Flag 规则，后续玩法见第 4 节。公司名称和剧情文案采用本稿建议，场景素材在出题时细化。</w:t>
      </w:r>
    </w:p>
    <w:p>
      <w:pPr>
        <w:pStyle w:val="Heading1"/>
      </w:pPr>
      <w:r>
        <w:t>1 故事与比赛目标</w:t>
      </w:r>
    </w:p>
    <w:p>
      <w:pPr>
        <w:pStyle w:val="Heading2"/>
      </w:pPr>
      <w:r>
        <w:t>一次应急运输保障竞标</w:t>
      </w:r>
    </w:p>
    <w:p>
      <w:r>
        <w:t>台风打乱了沿海运输计划，大批救援物资需要转运。东港运输公司和西港物流公司争取同一份应急运输保障合同。组织方在竞标前安排一次封闭的数字攻防演练，两队分别代表两家公司的安全团队。</w:t>
      </w:r>
    </w:p>
    <w:p>
      <w:r>
        <w:t>双方在虚构企业环境中同时攻防，保护自己的调度核心，也寻找对方的薄弱点。旧系统留下了维护资料、遗留账号和配置疏漏，选手需要追踪线索、接近核心；防守方在公布的权限范围内调整业务账号和防护配置。</w:t>
      </w:r>
    </w:p>
    <w:p>
      <w:pPr>
        <w:pStyle w:val="Heading2"/>
      </w:pPr>
      <w:r>
        <w:t>首版的目标</w:t>
      </w:r>
    </w:p>
    <w:p>
      <w:r>
        <w:t>每家公司有一处核心目标。攻击方取得对方核心中的比赛凭证，向平台提交；平台校验有效并成功保存终局后，判定对方被 KO，比赛结束。核心凭证在技术上采用本场独立的 Flag。</w:t>
      </w:r>
    </w:p>
    <w:p>
      <w:r>
        <w:t>故事中，这次行动被描述为“对方核心调度凭证失守”。首版验证的是取得正确凭证这一结果。后续若要表达“掌握调度签发能力”或“持续控制核心”，再加入对应业务操作与可信验证。</w:t>
      </w:r>
    </w:p>
    <w:p>
      <w:pPr>
        <w:pStyle w:val="Heading2"/>
      </w:pPr>
      <w:r>
        <w:t>场景里的设施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154"/>
        <w:gridCol w:w="3572"/>
        <w:gridCol w:w="3572"/>
      </w:tblGrid>
      <w:tr>
        <w:trPr>
          <w:cantSplit/>
          <w:tblHeader/>
        </w:trPr>
        <w:tc>
          <w:tcPr>
            <w:tcW w:type="dxa" w:w="2154"/>
            <w:vAlign w:val="center"/>
            <w:shd w:fill="E8EFF5"/>
          </w:tcPr>
          <w:p>
            <w:pPr>
              <w:pStyle w:val="RoadmapTableHeader"/>
            </w:pPr>
            <w:r>
              <w:t>设施</w:t>
            </w:r>
          </w:p>
        </w:tc>
        <w:tc>
          <w:tcPr>
            <w:tcW w:type="dxa" w:w="3572"/>
            <w:vAlign w:val="center"/>
            <w:shd w:fill="E8EFF5"/>
          </w:tcPr>
          <w:p>
            <w:pPr>
              <w:pStyle w:val="RoadmapTableHeader"/>
            </w:pPr>
            <w:r>
              <w:t>在故事中的作用</w:t>
            </w:r>
          </w:p>
        </w:tc>
        <w:tc>
          <w:tcPr>
            <w:tcW w:type="dxa" w:w="3572"/>
            <w:vAlign w:val="center"/>
            <w:shd w:fill="E8EFF5"/>
          </w:tcPr>
          <w:p>
            <w:pPr>
              <w:pStyle w:val="RoadmapTableHeader"/>
            </w:pPr>
            <w:r>
              <w:t>选手可以接触的内容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RoadmapTable"/>
            </w:pPr>
            <w:r>
              <w:t>业务门户</w:t>
            </w:r>
          </w:p>
        </w:tc>
        <w:tc>
          <w:tcPr>
            <w:tcW w:type="dxa" w:w="3572"/>
            <w:vAlign w:val="center"/>
          </w:tcPr>
          <w:p>
            <w:pPr>
              <w:pStyle w:val="RoadmapTable"/>
            </w:pPr>
            <w:r>
              <w:t>企业对外服务与业务入口</w:t>
            </w:r>
          </w:p>
        </w:tc>
        <w:tc>
          <w:tcPr>
            <w:tcW w:type="dxa" w:w="3572"/>
            <w:vAlign w:val="center"/>
          </w:tcPr>
          <w:p>
            <w:pPr>
              <w:pStyle w:val="RoadmapTable"/>
            </w:pPr>
            <w:r>
              <w:t>公告、业务页面、公开资料及入口线索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RoadmapTable"/>
            </w:pPr>
            <w:r>
              <w:t>办公与身份服务</w:t>
            </w:r>
          </w:p>
        </w:tc>
        <w:tc>
          <w:tcPr>
            <w:tcW w:type="dxa" w:w="3572"/>
            <w:vAlign w:val="center"/>
          </w:tcPr>
          <w:p>
            <w:pPr>
              <w:pStyle w:val="RoadmapTable"/>
            </w:pPr>
            <w:r>
              <w:t>员工处理内部事务</w:t>
            </w:r>
          </w:p>
        </w:tc>
        <w:tc>
          <w:tcPr>
            <w:tcW w:type="dxa" w:w="3572"/>
            <w:vAlign w:val="center"/>
          </w:tcPr>
          <w:p>
            <w:pPr>
              <w:pStyle w:val="RoadmapTable"/>
            </w:pPr>
            <w:r>
              <w:t>虚构账号关系、权限和遗留配置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RoadmapTable"/>
            </w:pPr>
            <w:r>
              <w:t>文件或维护资料库</w:t>
            </w:r>
          </w:p>
        </w:tc>
        <w:tc>
          <w:tcPr>
            <w:tcW w:type="dxa" w:w="3572"/>
            <w:vAlign w:val="center"/>
          </w:tcPr>
          <w:p>
            <w:pPr>
              <w:pStyle w:val="RoadmapTable"/>
            </w:pPr>
            <w:r>
              <w:t>保存设备与系统维护信息</w:t>
            </w:r>
          </w:p>
        </w:tc>
        <w:tc>
          <w:tcPr>
            <w:tcW w:type="dxa" w:w="3572"/>
            <w:vAlign w:val="center"/>
          </w:tcPr>
          <w:p>
            <w:pPr>
              <w:pStyle w:val="RoadmapTable"/>
            </w:pPr>
            <w:r>
              <w:t>旧文档、维护记录及通往核心的线索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RoadmapTable"/>
            </w:pPr>
            <w:r>
              <w:t>调度核心</w:t>
            </w:r>
          </w:p>
        </w:tc>
        <w:tc>
          <w:tcPr>
            <w:tcW w:type="dxa" w:w="3572"/>
            <w:vAlign w:val="center"/>
          </w:tcPr>
          <w:p>
            <w:pPr>
              <w:pStyle w:val="RoadmapTable"/>
            </w:pPr>
            <w:r>
              <w:t>保存核心凭证，后续可承载调度任务</w:t>
            </w:r>
          </w:p>
        </w:tc>
        <w:tc>
          <w:tcPr>
            <w:tcW w:type="dxa" w:w="3572"/>
            <w:vAlign w:val="center"/>
          </w:tcPr>
          <w:p>
            <w:pPr>
              <w:pStyle w:val="RoadmapTable"/>
            </w:pPr>
            <w:r>
              <w:t>本场最终攻击目标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r>
        <w:t>首版可以合并部分设施，先验证一条完整取 Flag 路线。双方使用相同目标、对应资源与操作限制，路径长度和防守成本尽量接近；具体设施数量由场景测试决定。</w:t>
      </w:r>
    </w:p>
    <w:p>
      <w:pPr>
        <w:pStyle w:val="Heading1"/>
        <w:pageBreakBefore/>
      </w:pPr>
      <w:r>
        <w:t>2 从进入比赛到开赛</w:t>
      </w:r>
    </w:p>
    <w:p>
      <w:r>
        <w:t>流程概览：了解背景 → 报名审核 → 配置场次 → 准备双队环境 → 管理员开赛 → 双方攻防 → 提交核心凭证 → KO 与剧情结局 → 回收环境。</w:t>
      </w:r>
    </w:p>
    <w:p>
      <w:pPr>
        <w:pStyle w:val="Heading2"/>
      </w:pPr>
      <w:r>
        <w:t>第一步 进入并了解任务</w:t>
      </w:r>
    </w:p>
    <w:p>
      <w:r>
        <w:t>选手从联赛入口查看比赛详情。页面说明双港背景、本场目标、报名要求、允许的操作和胜负条件。此时可以阅读共同公开的任务说明；本场环境入口在开赛后开放，内部线索与核心凭证需要在场景中探索取得。</w:t>
      </w:r>
    </w:p>
    <w:p>
      <w:r>
        <w:t>玩家最终要理解三件事：自己代表哪家公司，哪些内容可以操作，以及怎样取得本场胜利。</w:t>
      </w:r>
    </w:p>
    <w:p>
      <w:pPr>
        <w:pStyle w:val="Heading2"/>
      </w:pPr>
      <w:r>
        <w:t>第二步 报名并确定双方</w:t>
      </w:r>
    </w:p>
    <w:p>
      <w:r>
        <w:t>选手使用现有账号和战队报名，管理员审核并确定两支参赛队，将它们分配到东港和西港。本场双方都承担攻击与防守任务，使用同一套胜负规则。</w:t>
      </w:r>
    </w:p>
    <w:p>
      <w:r>
        <w:t>两队在一场比赛中完成对抗。场景可采用不同的名称、资料和经过测试的细节变体；公平性主要通过目标、初始条件和难度测试来保证。当前首版不依赖同一场景换边重赛来平衡结果。</w:t>
      </w:r>
    </w:p>
    <w:p>
      <w:pPr>
        <w:pStyle w:val="Heading2"/>
      </w:pPr>
      <w:r>
        <w:t>第三步 配置并准备场景</w:t>
      </w:r>
    </w:p>
    <w:p>
      <w:r>
        <w:t>管理员选择固定场景版本，确定两队席位和初始金币，随后准备比赛。平台固定本场名单和配置，为双方建立独立环境，并向各自核心注入不同的 Flag。比赛期间沿用这一版本。</w:t>
      </w:r>
    </w:p>
    <w:p>
      <w:r>
        <w:t>双方环境从赛前模板准备好，首版无需购买机器才能参赛。初始金币进入本场账户，先用于验证账务流程。管理员能够加减并填写原因，选手查看本队余额和流水。</w:t>
      </w:r>
    </w:p>
    <w:p>
      <w:r>
        <w:t>准备页面显示两队各自的进度与失败原因。环境、Flag 和必要入口都确认就绪后进入待开赛。准备期间，选手访问和攻击通路保持关闭；一队准备失败时，先处理失败，再确认开赛条件。</w:t>
      </w:r>
    </w:p>
    <w:p>
      <w:pPr>
        <w:pStyle w:val="Heading2"/>
      </w:pPr>
      <w:r>
        <w:t>第四步 管理员统一开赛</w:t>
      </w:r>
    </w:p>
    <w:p>
      <w:r>
        <w:t>管理员点击开赛，平台记录开赛时间，并开放双方约定的访问入口。选手看到自己代表的公司、目标说明、本队允许的防守操作、对方公开入口、余额和 Flag 提交位置。</w:t>
      </w:r>
    </w:p>
    <w:p>
      <w:r>
        <w:t>正式开赛后，双方才能访问本场攻防环境。正常运行、业务权限和比赛管理分开：选手使用公布的业务账号与防守配置，平台保留场次、核心凭证和环境生命周期的管理权限。</w:t>
      </w:r>
    </w:p>
    <w:p>
      <w:r>
        <w:t>首版采用一次开赛到终局的流程。若故障需要重建环境，管理员先中止本场，再以新场次和新凭证重新开始。赛中暂停、阶段切换和自动到时结算随后续规则确定后加入。</w:t>
      </w:r>
    </w:p>
    <w:p>
      <w:pPr>
        <w:pStyle w:val="Heading1"/>
        <w:pageBreakBefore/>
      </w:pPr>
      <w:r>
        <w:t>3 双方攻防与比赛结束</w:t>
      </w:r>
    </w:p>
    <w:p>
      <w:pPr>
        <w:pStyle w:val="Heading2"/>
      </w:pPr>
      <w:r>
        <w:t>第五步 追踪线索并保护本方核心</w:t>
      </w:r>
    </w:p>
    <w:p>
      <w:r>
        <w:t>开赛后，两队自行分配攻击和防守精力。攻击人员从对方已开放的业务入口调查线索，尝试接近核心目标；防守人员查看自己有权操作的配置，修正允许范围内的弱点。</w:t>
      </w:r>
    </w:p>
    <w:p>
      <w:r>
        <w:t>一条建议的故事路线是：选手在对方门户发现旧维护系统的线索，进入场景内的资料区，逐步获得访问调度核心所需的信息，最终取得核心 Flag。具体漏洞、步骤和材料由出题人设计并测试，这条叙述用于说明体验，属于场景内容建议。</w:t>
      </w:r>
    </w:p>
    <w:p>
      <w:r>
        <w:t>另一队同样可以从对应路线进攻。玩家的选择会影响双方进度：投入更多人查找线索，可能更快接近目标；安排成员处理已发现的配置弱点，可以增加对手推进的难度。首版通过受限业务账号和明确的操作范围控制防守力度。</w:t>
      </w:r>
    </w:p>
    <w:p>
      <w:pPr>
        <w:pStyle w:val="Heading2"/>
      </w:pPr>
      <w:r>
        <w:t>第六步 提交对方核心凭证</w:t>
      </w:r>
    </w:p>
    <w:p>
      <w:r>
        <w:t>选手在平台提交取得的 Flag。平台从登录和参赛关系识别提交队，校验它是否对应本场对方核心的当前运行实例与代次。</w:t>
      </w:r>
    </w:p>
    <w:p>
      <w:r>
        <w:t>错误、自身、其他场次或旧代次的 Flag 返回无效结果。开赛前及终局后的新提交按场次状态处理。Flag 明文仅用于受保护的场景注入与提交校验，页面记录和日志使用脱敏信息。</w:t>
      </w:r>
    </w:p>
    <w:p>
      <w:r>
        <w:t>首版由平台直接校验 Flag，成功后写入 KO。后续“完成业务目标，再由 Checker 核验”的过程属于另一种判定方式。</w:t>
      </w:r>
    </w:p>
    <w:p>
      <w:pPr>
        <w:pStyle w:val="Heading2"/>
      </w:pPr>
      <w:r>
        <w:t>第七步 确认唯一赛果并显示结局</w:t>
      </w:r>
    </w:p>
    <w:p>
      <w:r>
        <w:t>最先在服务器完成有效校验并成功写入终局的提交获胜。双方几乎同时提交时，以数据库成功保存终局的先后为准；重复请求沿用原结果。页面展示胜者、被 KO 的队伍、结束时间和对应提交编号。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6917"/>
      </w:tblGrid>
      <w:tr>
        <w:trPr>
          <w:cantSplit/>
          <w:tblHeader/>
        </w:trPr>
        <w:tc>
          <w:tcPr>
            <w:tcW w:type="dxa" w:w="2381"/>
            <w:vAlign w:val="center"/>
            <w:shd w:fill="E8EFF5"/>
          </w:tcPr>
          <w:p>
            <w:pPr>
              <w:pStyle w:val="RoadmapTableHeader"/>
            </w:pPr>
            <w:r>
              <w:t>本场结果</w:t>
            </w:r>
          </w:p>
        </w:tc>
        <w:tc>
          <w:tcPr>
            <w:tcW w:type="dxa" w:w="6917"/>
            <w:vAlign w:val="center"/>
            <w:shd w:fill="E8EFF5"/>
          </w:tcPr>
          <w:p>
            <w:pPr>
              <w:pStyle w:val="RoadmapTableHeader"/>
            </w:pPr>
            <w:r>
              <w:t>建议的剧情结局文案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东港获胜</w:t>
            </w:r>
          </w:p>
        </w:tc>
        <w:tc>
          <w:tcPr>
            <w:tcW w:type="dxa" w:w="6917"/>
            <w:vAlign w:val="center"/>
          </w:tcPr>
          <w:p>
            <w:pPr>
              <w:pStyle w:val="RoadmapTable"/>
            </w:pPr>
            <w:r>
              <w:t>西港核心调度凭证失守。东港在本轮攻防演练中取得优势，获得应急运输项目的优先候选资格。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西港获胜</w:t>
            </w:r>
          </w:p>
        </w:tc>
        <w:tc>
          <w:tcPr>
            <w:tcW w:type="dxa" w:w="6917"/>
            <w:vAlign w:val="center"/>
          </w:tcPr>
          <w:p>
            <w:pPr>
              <w:pStyle w:val="RoadmapTable"/>
            </w:pPr>
            <w:r>
              <w:t>东港核心调度凭证失守。西港在本轮攻防演练中取得优势，获得应急运输项目的优先候选资格。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管理员中止</w:t>
            </w:r>
          </w:p>
        </w:tc>
        <w:tc>
          <w:tcPr>
            <w:tcW w:type="dxa" w:w="6917"/>
            <w:vAlign w:val="center"/>
          </w:tcPr>
          <w:p>
            <w:pPr>
              <w:pStyle w:val="RoadmapTable"/>
            </w:pPr>
            <w:r>
              <w:t>本轮演练中止，评审结果待定。保留中止原因与已有记录，本场无胜者。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r>
        <w:t>剧情由真实赛果触发。金币余额、临时展示信息和资源清理状态都不改变已确认的胜负。首版尚未取得有效 Flag 时继续对抗；需要结束时由管理员填写原因中止。</w:t>
      </w:r>
    </w:p>
    <w:p>
      <w:pPr>
        <w:pStyle w:val="Heading2"/>
      </w:pPr>
      <w:r>
        <w:t>第八步 关闭访问并回收环境</w:t>
      </w:r>
    </w:p>
    <w:p>
      <w:r>
        <w:t>终局后关闭选手访问，回收本场资源，保留赛果和必要审计记录。资源处理失败时显示待处理或可重试状态，随后继续清理。再次举办时使用新的场次、环境和核心 Flag。</w:t>
      </w:r>
    </w:p>
    <w:p>
      <w:pPr>
        <w:pStyle w:val="Heading1"/>
        <w:pageBreakBefore/>
      </w:pPr>
      <w:r>
        <w:t>4 后续完整玩法的方向</w:t>
      </w:r>
    </w:p>
    <w:p>
      <w:r>
        <w:t>后续加入情报选择、资源使用和业务目标，让攻防选择影响比赛。先用双港验证，再考虑国家、战争、潜伏或重大事件改编等背景。</w:t>
      </w:r>
    </w:p>
    <w:p>
      <w:pPr>
        <w:pStyle w:val="Heading2"/>
      </w:pPr>
      <w:r>
        <w:t>情报与能力商店</w:t>
      </w:r>
    </w:p>
    <w:p>
      <w:r>
        <w:t>预算用于购买对方设施情报、虚构人员与社工线索、利用工具或 EXP，以及 WAF 等防护能力。设施主要在赛前布置。</w:t>
      </w:r>
    </w:p>
    <w:p>
      <w:r>
        <w:t>购买维护资料可获得入口线索，购买 WAF 可启用已验证的防护配置。线索、工具效果和防护代价经同一场景测试后，再确定价格与额度。</w:t>
      </w:r>
    </w:p>
    <w:p>
      <w:pPr>
        <w:pStyle w:val="Heading2"/>
      </w:pPr>
      <w:r>
        <w:t>分阶段展开故事</w:t>
      </w:r>
    </w:p>
    <w:p>
      <w:r>
        <w:t>后续可组织成“初步调查 → 线索与能力开放 → 核心目标争夺 → 结局”的战役，按阶段说明任务和资源，成批开放预设内容。服务和镜像赛前确定。</w:t>
      </w:r>
    </w:p>
    <w:p>
      <w:r>
        <w:t>阶段节奏与角色侧重通过试赛调整。先保留双方都能攻防，再尝试能力有所侧重的场景，比较双方完成目标的实际难度。</w:t>
      </w:r>
    </w:p>
    <w:p>
      <w:pPr>
        <w:pStyle w:val="Heading2"/>
      </w:pPr>
      <w:r>
        <w:t>从取得凭证走向验证业务能力</w:t>
      </w:r>
    </w:p>
    <w:p>
      <w:r>
        <w:t>后续可要求选手使用取得的权限，完成限定的模拟调度单。选手申请后，平台产生本次任务；选手执行，可信 Checker 核对效果和归属并保存结果。持续控制目标再定义时长和挑战规则。</w:t>
      </w:r>
    </w:p>
    <w:p>
      <w:r>
        <w:t>业务可用性、任务与胜负的关系在相应赛制采用前确定。检查逻辑随场景交付，平台提供执行和结果记录能力。</w:t>
      </w:r>
    </w:p>
    <w:p>
      <w:pPr>
        <w:pStyle w:val="Heading2"/>
      </w:pPr>
      <w:r>
        <w:t>开发会话按下面的范围理解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701"/>
        <w:gridCol w:w="3742"/>
        <w:gridCol w:w="3855"/>
      </w:tblGrid>
      <w:tr>
        <w:trPr>
          <w:cantSplit/>
          <w:tblHeader/>
        </w:trPr>
        <w:tc>
          <w:tcPr>
            <w:tcW w:type="dxa" w:w="1701"/>
            <w:vAlign w:val="center"/>
            <w:shd w:fill="E8EFF5"/>
          </w:tcPr>
          <w:p>
            <w:pPr>
              <w:pStyle w:val="RoadmapTableHeader"/>
            </w:pPr>
            <w:r>
              <w:t>内容</w:t>
            </w:r>
          </w:p>
        </w:tc>
        <w:tc>
          <w:tcPr>
            <w:tcW w:type="dxa" w:w="3742"/>
            <w:vAlign w:val="center"/>
            <w:shd w:fill="E8EFF5"/>
          </w:tcPr>
          <w:p>
            <w:pPr>
              <w:pStyle w:val="RoadmapTableHeader"/>
            </w:pPr>
            <w:r>
              <w:t>首期采用</w:t>
            </w:r>
          </w:p>
        </w:tc>
        <w:tc>
          <w:tcPr>
            <w:tcW w:type="dxa" w:w="3855"/>
            <w:vAlign w:val="center"/>
            <w:shd w:fill="E8EFF5"/>
          </w:tcPr>
          <w:p>
            <w:pPr>
              <w:pStyle w:val="RoadmapTableHeader"/>
            </w:pPr>
            <w:r>
              <w:t>后续方向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RoadmapTable"/>
            </w:pPr>
            <w:r>
              <w:t>比赛目标</w:t>
            </w:r>
          </w:p>
        </w:tc>
        <w:tc>
          <w:tcPr>
            <w:tcW w:type="dxa" w:w="3742"/>
            <w:vAlign w:val="center"/>
          </w:tcPr>
          <w:p>
            <w:pPr>
              <w:pStyle w:val="RoadmapTable"/>
            </w:pPr>
            <w:r>
              <w:t>取得并提交对方核心 Flag，判定 KO</w:t>
            </w:r>
          </w:p>
        </w:tc>
        <w:tc>
          <w:tcPr>
            <w:tcW w:type="dxa" w:w="3855"/>
            <w:vAlign w:val="center"/>
          </w:tcPr>
          <w:p>
            <w:pPr>
              <w:pStyle w:val="RoadmapTable"/>
            </w:pPr>
            <w:r>
              <w:t>验证业务目标，按规则决定得分或终局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RoadmapTable"/>
            </w:pPr>
            <w:r>
              <w:t>参赛形式</w:t>
            </w:r>
          </w:p>
        </w:tc>
        <w:tc>
          <w:tcPr>
            <w:tcW w:type="dxa" w:w="3742"/>
            <w:vAlign w:val="center"/>
          </w:tcPr>
          <w:p>
            <w:pPr>
              <w:pStyle w:val="RoadmapTable"/>
            </w:pPr>
            <w:r>
              <w:t>固定双队，双方都能攻防</w:t>
            </w:r>
          </w:p>
        </w:tc>
        <w:tc>
          <w:tcPr>
            <w:tcW w:type="dxa" w:w="3855"/>
            <w:vAlign w:val="center"/>
          </w:tcPr>
          <w:p>
            <w:pPr>
              <w:pStyle w:val="RoadmapTable"/>
            </w:pPr>
            <w:r>
              <w:t>更多场景及经过测试的角色侧重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RoadmapTable"/>
            </w:pPr>
            <w:r>
              <w:t>环境与权限</w:t>
            </w:r>
          </w:p>
        </w:tc>
        <w:tc>
          <w:tcPr>
            <w:tcW w:type="dxa" w:w="3742"/>
            <w:vAlign w:val="center"/>
          </w:tcPr>
          <w:p>
            <w:pPr>
              <w:pStyle w:val="RoadmapTable"/>
            </w:pPr>
            <w:r>
              <w:t>固定场景，受限业务账号和防守配置</w:t>
            </w:r>
          </w:p>
        </w:tc>
        <w:tc>
          <w:tcPr>
            <w:tcW w:type="dxa" w:w="3855"/>
            <w:vAlign w:val="center"/>
          </w:tcPr>
          <w:p>
            <w:pPr>
              <w:pStyle w:val="RoadmapTable"/>
            </w:pPr>
            <w:r>
              <w:t>分阶段内容，配套可用性规则后扩大防守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RoadmapTable"/>
            </w:pPr>
            <w:r>
              <w:t>金币和商店</w:t>
            </w:r>
          </w:p>
        </w:tc>
        <w:tc>
          <w:tcPr>
            <w:tcW w:type="dxa" w:w="3742"/>
            <w:vAlign w:val="center"/>
          </w:tcPr>
          <w:p>
            <w:pPr>
              <w:pStyle w:val="RoadmapTable"/>
            </w:pPr>
            <w:r>
              <w:t>基础加减、余额和流水；测试商品按需</w:t>
            </w:r>
          </w:p>
        </w:tc>
        <w:tc>
          <w:tcPr>
            <w:tcW w:type="dxa" w:w="3855"/>
            <w:vAlign w:val="center"/>
          </w:tcPr>
          <w:p>
            <w:pPr>
              <w:pStyle w:val="RoadmapTable"/>
            </w:pPr>
            <w:r>
              <w:t>情报、工具、WAF 及经营机制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RoadmapTable"/>
            </w:pPr>
            <w:r>
              <w:t>表现形式</w:t>
            </w:r>
          </w:p>
        </w:tc>
        <w:tc>
          <w:tcPr>
            <w:tcW w:type="dxa" w:w="3742"/>
            <w:vAlign w:val="center"/>
          </w:tcPr>
          <w:p>
            <w:pPr>
              <w:pStyle w:val="RoadmapTable"/>
            </w:pPr>
            <w:r>
              <w:t>背景说明、状态、提交和赛果页面</w:t>
            </w:r>
          </w:p>
        </w:tc>
        <w:tc>
          <w:tcPr>
            <w:tcW w:type="dxa" w:w="3855"/>
            <w:vAlign w:val="center"/>
          </w:tcPr>
          <w:p>
            <w:pPr>
              <w:pStyle w:val="RoadmapTable"/>
            </w:pPr>
            <w:r>
              <w:t>剧情阶段、观赛与回放；3D 后续，AI 独立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r>
        <w:t>场次、队伍、配置、环境、提交与赛果使用通用比赛模型；公司名称、设施和剧情属于场景内容。首期开发以第 2、3 节的 Flag 流程为准。</w:t>
      </w:r>
    </w:p>
    <w:sectPr w:rsidR="00FC693F" w:rsidRPr="0006063C" w:rsidSect="00034616">
      <w:footerReference w:type="default" r:id="rId9"/>
      <w:pgSz w:w="11906" w:h="16838"/>
      <w:pgMar w:top="1077" w:right="1304" w:bottom="1077" w:left="130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00"/>
    </w:pPr>
    <w:rPr>
      <w:rFonts w:ascii="SimSun" w:hAnsi="SimSun" w:eastAsia="SimSun" w:cs="SimSun"/>
      <w:b w:val="0"/>
      <w:color w:val="000000"/>
      <w:sz w:val="24"/>
      <w:bCs w:val="0"/>
      <w:szCs w:val="24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160" w:after="140"/>
      <w:outlineLvl w:val="0"/>
    </w:pPr>
    <w:rPr>
      <w:rFonts w:ascii="SimHei" w:hAnsi="SimHei" w:eastAsia="SimHei" w:cs="SimHei"/>
      <w:b w:val="0"/>
      <w:bCs w:val="0"/>
      <w:color w:val="000000"/>
      <w:sz w:val="32"/>
      <w:szCs w:val="32"/>
      <w:lang w:val="zh-CN" w:eastAsia="zh-CN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="SimHei" w:hAnsi="SimHei" w:eastAsia="SimHei" w:cs="SimHei"/>
      <w:b w:val="0"/>
      <w:bCs w:val="0"/>
      <w:color w:val="000000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uiPriority w:val="10"/>
    <w:qFormat/>
    <w:rsid w:val="00FC693F"/>
    <w:pPr>
      <w:keepNext/>
      <w:spacing w:after="140" w:line="240" w:lineRule="auto" w:before="0"/>
      <w:contextualSpacing/>
    </w:pPr>
    <w:rPr>
      <w:rFonts w:ascii="SimHei" w:hAnsi="SimHei" w:eastAsia="SimHei" w:cs="SimHei"/>
      <w:b w:val="0"/>
      <w:color w:val="000000"/>
      <w:spacing w:val="5"/>
      <w:kern w:val="28"/>
      <w:sz w:val="44"/>
      <w:szCs w:val="44"/>
      <w:bCs w:val="0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admapTable">
    <w:name w:val="Roadmap Table"/>
    <w:basedOn w:val="Normal"/>
    <w:pPr>
      <w:spacing w:line="320" w:lineRule="exact" w:after="40"/>
    </w:pPr>
    <w:rPr>
      <w:rFonts w:ascii="SimSun" w:hAnsi="SimSun" w:eastAsia="SimSun" w:cs="SimSun"/>
      <w:b w:val="0"/>
      <w:color w:val="000000"/>
      <w:sz w:val="22"/>
      <w:bCs w:val="0"/>
      <w:szCs w:val="22"/>
      <w:lang w:val="zh-CN" w:eastAsia="zh-CN"/>
    </w:rPr>
  </w:style>
  <w:style w:type="paragraph" w:customStyle="1" w:styleId="RoadmapTableHeader">
    <w:name w:val="Roadmap Table Header"/>
    <w:basedOn w:val="Normal"/>
    <w:pPr>
      <w:spacing w:line="320" w:lineRule="exact" w:after="40"/>
    </w:pPr>
    <w:rPr>
      <w:rFonts w:ascii="SimHei" w:hAnsi="SimHei" w:eastAsia="SimHei" w:cs="SimHei"/>
      <w:b w:val="0"/>
      <w:color w:val="000000"/>
      <w:sz w:val="22"/>
      <w:bCs w:val="0"/>
      <w:szCs w:val="22"/>
      <w:lang w:val="zh-CN" w:eastAsia="zh-CN"/>
    </w:rPr>
  </w:style>
  <w:style w:type="paragraph" w:customStyle="1" w:styleId="RoadmapCode">
    <w:name w:val="Roadmap Code"/>
    <w:basedOn w:val="Normal"/>
    <w:pPr>
      <w:spacing w:line="280" w:lineRule="exact" w:after="40"/>
    </w:pPr>
    <w:rPr>
      <w:rFonts w:ascii="Consolas" w:hAnsi="Consolas" w:eastAsia="SimSun" w:cs="Consolas"/>
      <w:b w:val="0"/>
      <w:color w:val="000000"/>
      <w:sz w:val="18"/>
      <w:bCs w:val="0"/>
      <w:szCs w:val="18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双港调度争夺比赛背景与总流程</dc:title>
  <dc:subject>故事背景、比赛阶段、胜负结局和后续玩法方向</dc:subject>
  <dc:creator>YINYU</dc:creator>
  <cp:keywords/>
  <dc:description>generated by python-docx</dc:description>
  <cp:lastModifiedBy/>
  <cp:revision>1</cp:revision>
  <dcterms:created xsi:type="dcterms:W3CDTF">2026-09-21T00:00:00Z</dcterms:created>
  <dcterms:modified xsi:type="dcterms:W3CDTF">2026-09-21T00:00:00Z</dcterms:modified>
  <cp:category/>
</cp:coreProperties>
</file>