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数字攻防联赛开发需求与分工稿</w:t>
      </w:r>
    </w:p>
    <w:p>
      <w:r>
        <w:t>会议讨论与任务认领</w:t>
      </w:r>
    </w:p>
    <w:p>
      <w:r>
        <w:t>2026 年 9 月 14 日 · V0.1</w:t>
      </w:r>
    </w:p>
    <w:p>
      <w:pPr>
        <w:pStyle w:val="Heading1"/>
      </w:pPr>
      <w:r>
        <w:t>1 建设目标与首期范围</w:t>
      </w:r>
    </w:p>
    <w:p>
      <w:r>
        <w:t>在隐喻平台内新增独立的联赛业务模块。两支队伍在同一规则下购买资产、经营服务、完成 CTF 支线任务并开展攻防。平台负责场景与网络、金币账本、健康检查、控制验证、比赛结果和观赛展示。</w:t>
      </w:r>
    </w:p>
    <w:p>
      <w:r>
        <w:t>联赛复用平台的账号、战队、题目内容、镜像和运行环境。联赛模块集中管理场次规则、资产购买、金币、核心系统登记和裁判结果，各模块通过约定接口配合。</w:t>
      </w:r>
    </w:p>
    <w:p>
      <w:pPr>
        <w:pStyle w:val="Heading2"/>
      </w:pPr>
      <w:r>
        <w:t>已确认的范围</w:t>
      </w:r>
    </w:p>
    <w:p>
      <w:r>
        <w:t>首期完成双队联赛，采用二维场景画布和赛事大屏。3D 放到后续阶段；AI 作为独立模块，其接入要求列在第 17 节，单独分工和估期。</w:t>
      </w:r>
    </w:p>
    <w:p>
      <w:r>
        <w:t>核心配置建议采用：每队单独配发一套对等核心，经营资产另用初始 3000 金币购买。该方案提交会议确认，核心收入、名额和残值等细则一并记入 D02、D03。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GuideTableHeader"/>
            </w:pPr>
            <w:r>
              <w:t>首期内容</w:t>
            </w:r>
          </w:p>
        </w:tc>
        <w:tc>
          <w:tcPr>
            <w:tcW w:type="dxa" w:w="7030"/>
            <w:vAlign w:val="center"/>
            <w:shd w:fill="E8EFF5"/>
          </w:tcPr>
          <w:p>
            <w:pPr>
              <w:pStyle w:val="GuideTableHeader"/>
            </w:pPr>
            <w:r>
              <w:t>交付要求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双队比赛</w:t>
            </w:r>
          </w:p>
        </w:tc>
        <w:tc>
          <w:tcPr>
            <w:tcW w:type="dxa" w:w="7030"/>
            <w:vAlign w:val="center"/>
          </w:tcPr>
          <w:p>
            <w:pPr>
              <w:pStyle w:val="GuideTable"/>
            </w:pPr>
            <w:r>
              <w:t>完成构建、自检、自由攻防、KO 或金币判胜、加时和结果确认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经营与任务</w:t>
            </w:r>
          </w:p>
        </w:tc>
        <w:tc>
          <w:tcPr>
            <w:tcW w:type="dxa" w:w="7030"/>
            <w:vAlign w:val="center"/>
          </w:tcPr>
          <w:p>
            <w:pPr>
              <w:pStyle w:val="GuideTable"/>
            </w:pPr>
            <w:r>
              <w:t>三类资产商店、持续收入、采购与恢复、退款、CTF 奖励和结算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场景与裁判</w:t>
            </w:r>
          </w:p>
        </w:tc>
        <w:tc>
          <w:tcPr>
            <w:tcW w:type="dxa" w:w="7030"/>
            <w:vAlign w:val="center"/>
          </w:tcPr>
          <w:p>
            <w:pPr>
              <w:pStyle w:val="GuideTable"/>
            </w:pPr>
            <w:r>
              <w:t>A/B 隔离环境、受控攻击机、业务健康检查、控制证据和 VAR 复核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使用与展示</w:t>
            </w:r>
          </w:p>
        </w:tc>
        <w:tc>
          <w:tcPr>
            <w:tcW w:type="dxa" w:w="7030"/>
            <w:vAlign w:val="center"/>
          </w:tcPr>
          <w:p>
            <w:pPr>
              <w:pStyle w:val="GuideTable"/>
            </w:pPr>
            <w:r>
              <w:t>队伍工作台、裁判台、延迟观众大屏和事件回放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交付材料</w:t>
            </w:r>
          </w:p>
        </w:tc>
        <w:tc>
          <w:tcPr>
            <w:tcW w:type="dxa" w:w="7030"/>
            <w:vAlign w:val="center"/>
          </w:tcPr>
          <w:p>
            <w:pPr>
              <w:pStyle w:val="GuideTable"/>
            </w:pPr>
            <w:r>
              <w:t>源码、接口说明、场景与检查素材、测试报告、部署及操作说明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首期验收目标</w:t>
      </w:r>
    </w:p>
    <w:p>
      <w:r>
        <w:t>组织者能够准备并启动一场双队比赛；选手完成购买、使用环境、做题、攻击和恢复；平台依据真实事件记账并判定结果。比赛结束后，裁判可以查到判定依据，管理员可以回收本场资源。</w:t>
      </w:r>
    </w:p>
    <w:p>
      <w:r>
        <w:t>本文采用联赛设计稿 V1.2 的正文规则。设计稿开头的旧图仍包含攻击券和 8 分钟窗口，本稿采用第 10 分钟起自由攻防、每 10 秒结算的正文要求。具体人名、日期和未定数值在第 16 节集中确认。</w:t>
      </w:r>
    </w:p>
    <w:p>
      <w:pPr>
        <w:pStyle w:val="Heading1"/>
        <w:pageBreakBefore/>
      </w:pPr>
      <w:r>
        <w:t>2 现有基础与新增工作</w:t>
      </w:r>
    </w:p>
    <w:p>
      <w:r>
        <w:t>当前主线已提供学练赛、题目来源收录、统一运行队列及 TeamLab 外部控制面。联赛需要在这些基础上增加队伍级资产与题目使用关系、经济规则和裁判流程。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71"/>
        <w:gridCol w:w="317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fill="E8EFF5"/>
          </w:tcPr>
          <w:p>
            <w:pPr>
              <w:pStyle w:val="GuideTableHeader"/>
            </w:pPr>
            <w:r>
              <w:t>现有基础</w:t>
            </w:r>
          </w:p>
        </w:tc>
        <w:tc>
          <w:tcPr>
            <w:tcW w:type="dxa" w:w="3175"/>
            <w:vAlign w:val="center"/>
            <w:shd w:fill="E8EFF5"/>
          </w:tcPr>
          <w:p>
            <w:pPr>
              <w:pStyle w:val="GuideTableHeader"/>
            </w:pPr>
            <w:r>
              <w:t>复用方式</w:t>
            </w:r>
          </w:p>
        </w:tc>
        <w:tc>
          <w:tcPr>
            <w:tcW w:type="dxa" w:w="4252"/>
            <w:vAlign w:val="center"/>
            <w:shd w:fill="E8EFF5"/>
          </w:tcPr>
          <w:p>
            <w:pPr>
              <w:pStyle w:val="GuideTableHeader"/>
            </w:pPr>
            <w:r>
              <w:t>联赛新增工作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账号与战队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读取身份、角色和战队成员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场次参赛关系、队伍席位、裁判与观众授权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练习与题目来源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选择符合条件的题目和镜像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冻结联赛题目版本，绑定队伍实例、提交和奖励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CTF 判题与榜单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复用题目验证能力和展示经验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金币账本、KO、单场赛果与联赛积分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AWDP Checker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适配脚本执行和检查结果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连续业务检查、健康收入、控制验证和 VAR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TeamLab 与 Runtime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调用发布、部署、状态、访问和清理接口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商店资产映射、比赛阶段网络策略和故障补偿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vNext 前端</w:t>
            </w:r>
          </w:p>
        </w:tc>
        <w:tc>
          <w:tcPr>
            <w:tcW w:type="dxa" w:w="3175"/>
            <w:vAlign w:val="center"/>
          </w:tcPr>
          <w:p>
            <w:pPr>
              <w:pStyle w:val="GuideTable"/>
            </w:pPr>
            <w:r>
              <w:t>使用现有壳层、组件和权限入口</w:t>
            </w:r>
          </w:p>
        </w:tc>
        <w:tc>
          <w:tcPr>
            <w:tcW w:type="dxa" w:w="4252"/>
            <w:vAlign w:val="center"/>
          </w:tcPr>
          <w:p>
            <w:pPr>
              <w:pStyle w:val="GuideTable"/>
            </w:pPr>
            <w:r>
              <w:t>联赛入口、商店、场景画布、裁判台及观众流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复用时要补齐的条件</w:t>
      </w:r>
    </w:p>
    <w:p>
      <w:r>
        <w:t>当前练习服务以个人用户为主体。联赛的题目、实例、Flag 和奖励需要按场次与队伍隔离。题目来源收录提供了内容基础，队伍级调用契约仍需开发。</w:t>
      </w:r>
    </w:p>
    <w:p>
      <w:r>
        <w:t>现有 AWDP Checker 按轮次、服务和参赛队伍工作。联赛需要独立定义健康周期、连续控制挑战和结果证据，由适配层调用可复用能力。</w:t>
      </w:r>
    </w:p>
    <w:p>
      <w:r>
        <w:t>TeamLab 已有组网和外部控制接口。独立部署交付还需要明确版本、配置、鉴权、运维和兼容测试。首期先完成接口边界及可运行联调，独立部署作为专项验收项安排。</w:t>
      </w:r>
    </w:p>
    <w:p>
      <w:pPr>
        <w:pStyle w:val="Heading2"/>
      </w:pPr>
      <w:r>
        <w:t>开发边界</w:t>
      </w:r>
    </w:p>
    <w:p>
      <w:r>
        <w:t xml:space="preserve">联赛保存玩法和经济事实，内容模块保存源题与镜像，Runtime/TeamLab 保存部署和资源事实。运行任务继续进入 </w:t>
      </w:r>
      <w:r>
        <w:rPr>
          <w:rFonts w:ascii="Consolas" w:hAnsi="Consolas"/>
          <w:sz w:val="21"/>
        </w:rPr>
        <w:t>DeploymentQueueTicket</w:t>
      </w:r>
      <w:r>
        <w:t>。主站负责权限与编排，Agent 执行已校验的本机操作。</w:t>
      </w:r>
    </w:p>
    <w:p>
      <w:r>
        <w:t>同进程模块使用公开 application contract，跨部署使用版本化 API。新增 League 模块时同步补充模块依赖规则和架构测试。当前源码核查依据见第 18 节；目标环境的可用容量和运行状态在联调前重新确认。</w:t>
      </w:r>
    </w:p>
    <w:p>
      <w:pPr>
        <w:pStyle w:val="Heading1"/>
        <w:pageBreakBefore/>
      </w:pPr>
      <w:r>
        <w:t>3 场次流程与胜负规则</w:t>
      </w:r>
    </w:p>
    <w:p>
      <w:r>
        <w:t>责任包：W01 联赛主流程。规则负责人确认赛制，主站后端实现状态与时钟，测试人员覆盖阶段边界。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928"/>
        <w:gridCol w:w="1984"/>
        <w:gridCol w:w="5386"/>
      </w:tblGrid>
      <w:tr>
        <w:trPr>
          <w:cantSplit/>
          <w:tblHeader/>
        </w:trPr>
        <w:tc>
          <w:tcPr>
            <w:tcW w:type="dxa" w:w="1928"/>
            <w:vAlign w:val="center"/>
            <w:shd w:fill="E8EFF5"/>
          </w:tcPr>
          <w:p>
            <w:pPr>
              <w:pStyle w:val="GuideTableHeader"/>
            </w:pPr>
            <w:r>
              <w:t>阶段</w:t>
            </w:r>
          </w:p>
        </w:tc>
        <w:tc>
          <w:tcPr>
            <w:tcW w:type="dxa" w:w="1984"/>
            <w:vAlign w:val="center"/>
            <w:shd w:fill="E8EFF5"/>
          </w:tcPr>
          <w:p>
            <w:pPr>
              <w:pStyle w:val="GuideTableHeader"/>
            </w:pPr>
            <w:r>
              <w:t>V1.2 时间</w:t>
            </w:r>
          </w:p>
        </w:tc>
        <w:tc>
          <w:tcPr>
            <w:tcW w:type="dxa" w:w="5386"/>
            <w:vAlign w:val="center"/>
            <w:shd w:fill="E8EFF5"/>
          </w:tcPr>
          <w:p>
            <w:pPr>
              <w:pStyle w:val="GuideTableHeader"/>
            </w:pPr>
            <w:r>
              <w:t>平台动作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场景公开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赛前 1–2 天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公布基础镜像、业务规范、目录、价格与允许修改范围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构建与自检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0–10 分钟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初始化队伍与金币，开放购买和本队配置，保持跨队隔离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自由攻防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10–90 分钟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冻结初始核心清单，开放已购攻击机至对手公开业务面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结算与 VAR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90–100 分钟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停止新增操作，冻结待结算数据，复核证据并确认赛果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W01 功能要求</w:t>
      </w:r>
    </w:p>
    <w:p>
      <w:r>
        <w:t>W01.01 创建联赛及场次，登记两队、裁判、规则版本、场景版本和计划时间。首期先支持手工安排对阵、登记场次结果及联赛排名，赛程自动编排后续扩展。</w:t>
      </w:r>
    </w:p>
    <w:p>
      <w:r>
        <w:t>W01.02 提供准备、运行、暂停、结束和结果确认状态。比赛阶段以服务端时钟推进；刷新页面或服务重启后，恢复同一场次和时间状态。暂停是否停止产币和挑战计时，由冻结规则决定。</w:t>
      </w:r>
    </w:p>
    <w:p>
      <w:r>
        <w:t>W01.03 第 10 分钟保存初始核心清单，关联逻辑资产身份与当前运行实例。后续核心配置变更、上下线和故障处理均保留记录，并按赛事规则处理。</w:t>
      </w:r>
    </w:p>
    <w:p>
      <w:r>
        <w:t>W01.04 核心 KO 确认后立即结束本场；双方均未 KO 时比较最终金币；同币进入 5 分钟加时，仍同币判平。加时与清算先后顺序见 D04。</w:t>
      </w:r>
    </w:p>
    <w:p>
      <w:r>
        <w:t>W01.05 联赛积分采用 KO 胜 3 分、金币胜 2 分、平局各 1 分、负 0 分。同分依次比较 KO 胜场数、累计金币净差和核心系统平均可用率。</w:t>
      </w:r>
    </w:p>
    <w:p>
      <w:pPr>
        <w:pStyle w:val="Heading2"/>
      </w:pPr>
      <w:r>
        <w:t>验收</w:t>
      </w:r>
    </w:p>
    <w:p>
      <w:r>
        <w:t>以两支真实测试队伍运行完整场次，分别验证 KO、金币胜和同币分支。重复触发阶段转换只执行一次；主站重启后时间和阶段一致；终局后新业务操作被服务端拒绝。暂停、同时 KO 和截止时仍在执行的挑战按 D04 冻结后的规则测试。</w:t>
      </w:r>
    </w:p>
    <w:p>
      <w:pPr>
        <w:pStyle w:val="Heading1"/>
        <w:pageBreakBefore/>
      </w:pPr>
      <w:r>
        <w:t>4 资产商店与购买流程</w:t>
      </w:r>
    </w:p>
    <w:p>
      <w:r>
        <w:t>责任包：W03 商店；依赖 W04 账本、W02 运行接口和 W08 场景素材。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71"/>
        <w:gridCol w:w="3685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E8EFF5"/>
          </w:tcPr>
          <w:p>
            <w:pPr>
              <w:pStyle w:val="GuideTableHeader"/>
            </w:pPr>
            <w:r>
              <w:t>商品</w:t>
            </w:r>
          </w:p>
        </w:tc>
        <w:tc>
          <w:tcPr>
            <w:tcW w:type="dxa" w:w="3685"/>
            <w:vAlign w:val="center"/>
            <w:shd w:fill="E8EFF5"/>
          </w:tcPr>
          <w:p>
            <w:pPr>
              <w:pStyle w:val="GuideTableHeader"/>
            </w:pPr>
            <w:r>
              <w:t>V1.2 价格与配额</w:t>
            </w:r>
          </w:p>
        </w:tc>
        <w:tc>
          <w:tcPr>
            <w:tcW w:type="dxa" w:w="3742"/>
            <w:vAlign w:val="center"/>
            <w:shd w:fill="E8EFF5"/>
          </w:tcPr>
          <w:p>
            <w:pPr>
              <w:pStyle w:val="GuideTableHeader"/>
            </w:pPr>
            <w:r>
              <w:t>交付内容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产币业务服务</w:t>
            </w:r>
          </w:p>
        </w:tc>
        <w:tc>
          <w:tcPr>
            <w:tcW w:type="dxa" w:w="3685"/>
            <w:vAlign w:val="center"/>
          </w:tcPr>
          <w:p>
            <w:pPr>
              <w:pStyle w:val="GuideTable"/>
            </w:pPr>
            <w:r>
              <w:t>高风险 800、均衡 1400、稳健 2200；最多同时运行 2 个</w:t>
            </w:r>
          </w:p>
        </w:tc>
        <w:tc>
          <w:tcPr>
            <w:tcW w:type="dxa" w:w="3742"/>
            <w:vAlign w:val="center"/>
          </w:tcPr>
          <w:p>
            <w:pPr>
              <w:pStyle w:val="GuideTable"/>
            </w:pPr>
            <w:r>
              <w:t>业务镜像、业务规范、健康检查和收入规则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攻击机</w:t>
            </w:r>
          </w:p>
        </w:tc>
        <w:tc>
          <w:tcPr>
            <w:tcW w:type="dxa" w:w="3685"/>
            <w:vAlign w:val="center"/>
          </w:tcPr>
          <w:p>
            <w:pPr>
              <w:pStyle w:val="GuideTable"/>
            </w:pPr>
            <w:r>
              <w:t>标准 800、增强 1400；最多 2 台</w:t>
            </w:r>
          </w:p>
        </w:tc>
        <w:tc>
          <w:tcPr>
            <w:tcW w:type="dxa" w:w="3742"/>
            <w:vAlign w:val="center"/>
          </w:tcPr>
          <w:p>
            <w:pPr>
              <w:pStyle w:val="GuideTable"/>
            </w:pPr>
            <w:r>
              <w:t>平台工具镜像、受控访问与会话关联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防御资产</w:t>
            </w:r>
          </w:p>
        </w:tc>
        <w:tc>
          <w:tcPr>
            <w:tcW w:type="dxa" w:w="3685"/>
            <w:vAlign w:val="center"/>
          </w:tcPr>
          <w:p>
            <w:pPr>
              <w:pStyle w:val="GuideTable"/>
            </w:pPr>
            <w:r>
              <w:t>Web 网关 500、检测中心 700、备份节点 600；快速部署包 400，按次规则待定；同类最多 1 个</w:t>
            </w:r>
          </w:p>
        </w:tc>
        <w:tc>
          <w:tcPr>
            <w:tcW w:type="dxa" w:w="3742"/>
            <w:vAlign w:val="center"/>
          </w:tcPr>
          <w:p>
            <w:pPr>
              <w:pStyle w:val="GuideTable"/>
            </w:pPr>
            <w:r>
              <w:t>网络边界、观测、备份恢复或部署辅助能力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r>
        <w:t>快速部署包的“按次收费”与“同类最多 1 个”需要进一步确定消耗和配额含义，列为 D03。防御资产的具体产品或镜像由场景负责人提供。</w:t>
      </w:r>
    </w:p>
    <w:p>
      <w:pPr>
        <w:pStyle w:val="Heading2"/>
      </w:pPr>
      <w:r>
        <w:t>W03 功能要求</w:t>
      </w:r>
    </w:p>
    <w:p>
      <w:r>
        <w:t>W03.01 商品保存名称、类型、版本、价格、配额、镜像摘要、运行需求、可操作动作和检查规范。选手查看赛前公开内容，正式实例的秘密由运行时注入。</w:t>
      </w:r>
    </w:p>
    <w:p>
      <w:r>
        <w:t>W03.02 购买请求携带商品版本和幂等标识。服务端检查比赛阶段、队伍权限、余额和配额，记录订单、扣款和待部署内容，再交给运行底座创建资产。</w:t>
      </w:r>
    </w:p>
    <w:p>
      <w:r>
        <w:t>W03.03 卡片展示待购、已购、部署中、运行中、已攻破、恢复中和回收状态。订单、逻辑资产和实际实例建立对应关系；刷新后显示服务端状态。</w:t>
      </w:r>
    </w:p>
    <w:p>
      <w:r>
        <w:t>W03.04 第 10–60 分钟按基础价；60–70 分钟加价 20%，70–80 加价 40%，80–90 加价 60%。新购业务、攻击机、防御资产和付费恢复均按该规则计价。构建期与加时价格列为 D03。</w:t>
      </w:r>
    </w:p>
    <w:p>
      <w:r>
        <w:t>W03.05 部署明确失败时，按订单补偿一次并回收相关资源。结果未知时先查询原任务，继续展示处理中；迟到成功按已确定的订单补偿政策处理。</w:t>
      </w:r>
    </w:p>
    <w:p>
      <w:pPr>
        <w:pStyle w:val="Heading2"/>
      </w:pPr>
      <w:r>
        <w:t>验收</w:t>
      </w:r>
    </w:p>
    <w:p>
      <w:r>
        <w:t>同一购买请求重试返回同一订单；不同参数复用同一标识报冲突。并发购买满足余额和配额约束。部署失败、超时后成功、退款重试、主站重启和临近加价时间的请求均有确定结果。每个实际赛场资产均能追溯到订单或赛前配发记录。</w:t>
      </w:r>
    </w:p>
    <w:p>
      <w:pPr>
        <w:pStyle w:val="Heading1"/>
        <w:pageBreakBefore/>
      </w:pPr>
      <w:r>
        <w:t>5 金币账本与结算</w:t>
      </w:r>
    </w:p>
    <w:p>
      <w:r>
        <w:t>责任包：W04 账本。账本后端负责余额与分录，玩法模块提供已验证的奖励事件，规则负责人确认计算表。</w:t>
      </w:r>
    </w:p>
    <w:p>
      <w:pPr>
        <w:pStyle w:val="Heading2"/>
      </w:pPr>
      <w:r>
        <w:t>W04 功能要求</w:t>
      </w:r>
    </w:p>
    <w:p>
      <w:r>
        <w:t>W04.01 每队初始 3000 金币，记录初始化分录。采购、退款、经营收入、CTF 奖励、GetShell 奖励、恢复支出和残值清算均写入同一账本。</w:t>
      </w:r>
    </w:p>
    <w:p>
      <w:r>
        <w:t>W04.02 每 10 秒结算一次。高风险、均衡、稳健服务满健康时每周期分别收入 20、14、10 金币；健康下降按规则减产，已攻破非核心设施停产。服务连续通过 30 秒业务检查后开始产币。基础场景收入、健康比例及取整规则见 D03。</w:t>
      </w:r>
    </w:p>
    <w:p>
      <w:r>
        <w:t>W04.03 分录保存场次、队伍、业务事件标识、发生时间、入账顺序、规则版本、金额及关联对象。事件时间由可信服务端产生，客户端只提交操作请求。</w:t>
      </w:r>
    </w:p>
    <w:p>
      <w:r>
        <w:t>W04.04 购买扣款、订单和待部署内容在同一个数据库事务中保存；远程部署完成后，再通过确认或补偿事务更新订单。执行中断时，根据已保存的记录继续处理。</w:t>
      </w:r>
    </w:p>
    <w:p>
      <w:r>
        <w:t>W04.05 金额使用确定精度，余额更新具备并发保护。重复事件命中唯一业务键时返回既有结果。更正采用关联原分录的调整记录，裁判可查看调整原因和操作者。</w:t>
      </w:r>
    </w:p>
    <w:p>
      <w:r>
        <w:t>W04.06 结算保存规则快照和截止点，可以重放到指定周期。结束时清算残值：三档业务残值上限分别为 20%、40%、70%，具体计算公式与其他资产是否参与见 D03。</w:t>
      </w:r>
    </w:p>
    <w:p>
      <w:pPr>
        <w:pStyle w:val="Heading2"/>
      </w:pPr>
      <w:r>
        <w:t>验收样例</w:t>
      </w:r>
    </w:p>
    <w:p>
      <w:r>
        <w:t>在基础价阶段，余额 3000 的队伍并发提交五个不同的 800 金币购买请求，在配额允许的测试条件下最多成功三笔，余额为 600。同一个请求并发重试只扣一次。</w:t>
      </w:r>
    </w:p>
    <w:p>
      <w:r>
        <w:t>对同一已通过检查的高风险服务，连续 3 个满健康收入周期应记录 60 金币；重放同一批周期后，该批收入仍为 60 金币。一个已确认失败的 800 金币订单仅退款一次。</w:t>
      </w:r>
    </w:p>
    <w:p>
      <w:r>
        <w:t>断电或重启后，未完成结算和订单可继续处理。结算临界时的购买、健康变化、迟到事件及终局清算按照冻结顺序计算；缺失证据的周期保留待处理状态和原因。</w:t>
      </w:r>
    </w:p>
    <w:p>
      <w:pPr>
        <w:pStyle w:val="Heading1"/>
        <w:pageBreakBefore/>
      </w:pPr>
      <w:r>
        <w:t>6 场景部署与比赛网络</w:t>
      </w:r>
    </w:p>
    <w:p>
      <w:r>
        <w:t>责任包：W02 运行和组网；W08 提供合格镜像与场景，W01 通知比赛阶段及需要执行的操作。</w:t>
      </w:r>
    </w:p>
    <w:p>
      <w:pPr>
        <w:pStyle w:val="Heading2"/>
      </w:pPr>
      <w:r>
        <w:t>W02 功能要求</w:t>
      </w:r>
    </w:p>
    <w:p>
      <w:r>
        <w:t>W02.01 根据场景发布版本为两队创建资源，保存场次、队伍、逻辑资产、runtime、generation 和队列票据的映射。资源需求、镜像状态、地址与端口在执行前校验。</w:t>
      </w:r>
    </w:p>
    <w:p>
      <w:r>
        <w:t>W02.02 构建期保持两队隔离。攻防期只开放已购攻击机至对方公开业务面，业务网与平台管理网分别控制。正式赛场的工具和资产从平台商店派发，终端外网出口按 V1.2 默认关闭。</w:t>
      </w:r>
    </w:p>
    <w:p>
      <w:r>
        <w:t>W02.03 网络规则和访问授权与场次阶段关联。到达开放、暂停或结束状态时，由服务端可靠下发策略，检查实际链路并记录结果。策略失败时向裁判展示待处理状态。</w:t>
      </w:r>
    </w:p>
    <w:p>
      <w:r>
        <w:t>W02.04 提供部署、查询、恢复、销毁和库存对账能力。创建与重试使用相同资源身份，清理按原执行计划和代次执行；同节点上的其他场次资源保持独立。</w:t>
      </w:r>
    </w:p>
    <w:p>
      <w:r>
        <w:t>W02.05 使用预热镜像和资源池达到服务、攻击机 30 秒内可用的目标。可用计时从购买受理到业务入口实测成功，另行记录排队、部署及入口准备耗时；产币资格还需通过连续健康检查。</w:t>
      </w:r>
    </w:p>
    <w:p>
      <w:pPr>
        <w:pStyle w:val="Heading2"/>
      </w:pPr>
      <w:r>
        <w:t>接口与独立交付</w:t>
      </w:r>
    </w:p>
    <w:p>
      <w:r>
        <w:t>首期先明确主站调用的公共 contract 和远程 API 适配。组网负责人交付能力清单、配置、鉴权、资源映射、错误码和操作说明。若独立部署组网控制服务，还需完成版本兼容、网络连通、故障隔离和运维交接验收。</w:t>
      </w:r>
    </w:p>
    <w:p>
      <w:r>
        <w:t>首个可运行场景优先采用已验证的 Docker 资产。虚拟机或物理连接器在选定场景确有需要时纳入首期资源清单，并补对应真实环境验收。</w:t>
      </w:r>
    </w:p>
    <w:p>
      <w:pPr>
        <w:pStyle w:val="Heading2"/>
      </w:pPr>
      <w:r>
        <w:t>验收</w:t>
      </w:r>
    </w:p>
    <w:p>
      <w:r>
        <w:t>实际验证构建期跨队流量拒绝、攻防期允许业务面访问、管理面隔离、场次之间隔离及结束后访问关闭。覆盖节点失联、重复部署、地址冲突、部分失败和精确清理。30 秒目标按 D06 确认的硬件、并发与预热条件测量并报告。</w:t>
      </w:r>
    </w:p>
    <w:p>
      <w:pPr>
        <w:pStyle w:val="Heading1"/>
        <w:pageBreakBefore/>
      </w:pPr>
      <w:r>
        <w:t>7 健康检查与非核心恢复</w:t>
      </w:r>
    </w:p>
    <w:p>
      <w:r>
        <w:t>责任包：W05 健康检查；W08 提供业务与漏洞检查素材，W04 根据检查结果结算收入。</w:t>
      </w:r>
    </w:p>
    <w:p>
      <w:pPr>
        <w:pStyle w:val="Heading2"/>
      </w:pPr>
      <w:r>
        <w:t>W05 功能要求</w:t>
      </w:r>
    </w:p>
    <w:p>
      <w:r>
        <w:t>W05.01 每项服务配置业务可用性、功能正确性和完整性检查，输出检查结果、发生时间、资产版本、运行代次和证据引用。健康档位及收入比例在规则表中定义。</w:t>
      </w:r>
    </w:p>
    <w:p>
      <w:r>
        <w:t>W05.02 分别记录业务异常、已确认攻破和检查器故障。检查器超时、节点断连或采样缺失时，状态记为未知，按规则暂停、补采或交裁判处理；失守判定需要有效的攻破证据。</w:t>
      </w:r>
    </w:p>
    <w:p>
      <w:r>
        <w:t>W05.03 新部署业务连续通过 30 秒业务检查后获得产币资格。检查结果明确对应资产与连续时间窗口，服务重启及检查中断按规则重新计算连续条件。</w:t>
      </w:r>
    </w:p>
    <w:p>
      <w:r>
        <w:t>W05.04 非核心设施被确认攻破后停止产币。防守方可购买恢复服务或使用已购备份节点。恢复后同时检查漏洞能力是否消失、业务是否正常，连续通过 30 秒后解除已攻破状态并恢复产币。</w:t>
      </w:r>
    </w:p>
    <w:p>
      <w:r>
        <w:t>W05.05 恢复保留原逻辑资产身份、已领奖记录和历史证据。恢复费用、失败退款和备份次数在商品与恢复规则中配置；核心系统操作由 W01 的核心保护规则约束。</w:t>
      </w:r>
    </w:p>
    <w:p>
      <w:pPr>
        <w:pStyle w:val="Heading2"/>
      </w:pPr>
      <w:r>
        <w:t>检查器交付格式</w:t>
      </w:r>
    </w:p>
    <w:p>
      <w:r>
        <w:t>每套检查素材至少包含适用镜像与版本、公开业务规范、隐藏检查用例、输入参数、超时与资源限制、输出字段、失败分类和本地运行说明。输出使用结构化结果，日志只保留可公开的错误信息和关联标识。</w:t>
      </w:r>
    </w:p>
    <w:p>
      <w:pPr>
        <w:pStyle w:val="Heading2"/>
      </w:pPr>
      <w:r>
        <w:t>验收</w:t>
      </w:r>
    </w:p>
    <w:p>
      <w:r>
        <w:t>覆盖健康、业务失败、完整性异常、检查器超时、结果迟到和运行代次变化。业务回归应识别服务被停止、仅放行固定检查请求等情况，将其判为修复未通过。恢复后重新攻破同一逻辑设施，既有奖励去重规则继续生效。</w:t>
      </w:r>
    </w:p>
    <w:p>
      <w:r>
        <w:t>规则负责人负责确认“业务正常”和“修复成立”的业务含义；检查器开发者负责将其写成可执行用例，测试人员用已知正常、故障和修复样例验证。</w:t>
      </w:r>
    </w:p>
    <w:p>
      <w:pPr>
        <w:pStyle w:val="Heading1"/>
        <w:pageBreakBefore/>
      </w:pPr>
      <w:r>
        <w:t>8 控制验证与 KO 裁判</w:t>
      </w:r>
    </w:p>
    <w:p>
      <w:r>
        <w:t>责任包：W06 裁判；依赖 W05 检查结果、W08 场景证据和 W01 比赛状态。</w:t>
      </w:r>
    </w:p>
    <w:p>
      <w:pPr>
        <w:pStyle w:val="Heading2"/>
      </w:pPr>
      <w:r>
        <w:t>W06 功能要求</w:t>
      </w:r>
    </w:p>
    <w:p>
      <w:r>
        <w:t>W06.01 非核心 GetShell 由平台验证交互式控制会话和动态证据，验证通过后产生攻破事件。攻击方奖励 150 金币，同一非核心逻辑设施每场只奖励一次，防守方该设施停产。</w:t>
      </w:r>
    </w:p>
    <w:p>
      <w:r>
        <w:t>W06.02 核心控制验证分为访问证明、权限与业务写入验证、持续控制挑战、KO 确认四步。动态 Flag 或等价权限证明需要关联授权会话，业务写入采用预定义的非破坏性动作。</w:t>
      </w:r>
    </w:p>
    <w:p>
      <w:r>
        <w:t>W06.03 持续控制阶段历时 60 秒，每 10 秒完成一次随机挑战，共 6 次。建议挑战完成点为开始后第 10、20、30、40、50、60 秒，最终窗口由规则负责人确认；任次失败中断该次挑战。</w:t>
      </w:r>
    </w:p>
    <w:p>
      <w:r>
        <w:t>W06.04 会话、网络、主机、应用和业务证据一致后确认 KO；证据冲突或置信度不足进入 VAR。单纯扫描命中、WebShell 或服务停机分别记录为对应事件，按其实际证明的能力处理。</w:t>
      </w:r>
    </w:p>
    <w:p>
      <w:r>
        <w:t>W06.05 核心攻破触发 KO，普通 GetShell 金币奖励为零。裁判结果保存证据引用、规则版本、判定人、时间和理由，结果更正建立新版本并关联原结果。</w:t>
      </w:r>
    </w:p>
    <w:p>
      <w:r>
        <w:t>W06.06 判定所需的证据按场次归档，销毁实例后仍能按权限复查。运行资源回收前确认必要证据已保存；证据保留期限和可下载范围由规则与运维负责人确定。</w:t>
      </w:r>
    </w:p>
    <w:p>
      <w:pPr>
        <w:pStyle w:val="Heading2"/>
      </w:pPr>
      <w:r>
        <w:t>状态与时序</w:t>
      </w:r>
    </w:p>
    <w:p>
      <w:r>
        <w:t>控制证明已受理 → 业务验证中 → 持续挑战中 → KO 已确认；失败分支记录中断原因。进入 VAR 的事件显示为待裁决，并保留证据和时间，裁决完成后再公布对应结果。</w:t>
      </w:r>
    </w:p>
    <w:p>
      <w:r>
        <w:t>同时 KO、挑战跨越第 90 分钟、临界时间收到证明、核心故障和暂停中的挑战按 D04 确认的规则处理。裁判台必须能查看这些事件的发生、受理和确认顺序。</w:t>
      </w:r>
    </w:p>
    <w:p>
      <w:pPr>
        <w:pStyle w:val="Heading2"/>
      </w:pPr>
      <w:r>
        <w:t>验收</w:t>
      </w:r>
    </w:p>
    <w:p>
      <w:r>
        <w:t>使用授权测试场景分别验证普通 WebShell、权限不足、业务写入失败、连续 6 次成功、任次挑战失败、重放证据和证据冲突。确认 KO 后比赛结束一次，核心普通奖励为零。详细攻击步骤由授权赛事测试人员执行并记录。</w:t>
      </w:r>
    </w:p>
    <w:p>
      <w:pPr>
        <w:pStyle w:val="Heading1"/>
        <w:pageBreakBefore/>
      </w:pPr>
      <w:r>
        <w:t>9 CTF 题目复用与支线奖励</w:t>
      </w:r>
    </w:p>
    <w:p>
      <w:r>
        <w:t>责任包：W07 内容和判题；W08 提供题目，W04 发放金币，W02 创建运行环境。</w:t>
      </w:r>
    </w:p>
    <w:p>
      <w:pPr>
        <w:pStyle w:val="Heading2"/>
      </w:pPr>
      <w:r>
        <w:t>W07 功能要求</w:t>
      </w:r>
    </w:p>
    <w:p>
      <w:r>
        <w:t>W07.01 从现有内容中选择适合联赛的题目，保存发布时的题面、附件引用、判题规则、镜像和版本。普通 CTF、培训或 AWDP 来源均先检查适用条件。</w:t>
      </w:r>
    </w:p>
    <w:p>
      <w:r>
        <w:t>W07.02 题目卡对两队可见，初级、中级、高级任务分别奖励 200、350、500 金币。同一场次、同一队伍、同一任务最多领取一次。</w:t>
      </w:r>
    </w:p>
    <w:p>
      <w:r>
        <w:t>W07.03 联赛创建独立的队伍题目使用关系和实例。动态 Flag 按联赛正式实例生成，附件题按冻结的判题规则验证。提交保留场次、队伍、题目版本、结果和时间。个人练习进度保留在原业务中。</w:t>
      </w:r>
    </w:p>
    <w:p>
      <w:r>
        <w:t>W07.04 判题成功产生可查询的验证回执，账本依据回执和唯一奖励键记账。提交成功但奖励暂未入账时，页面展示待发放状态，后台继续处理并支持查询。</w:t>
      </w:r>
    </w:p>
    <w:p>
      <w:r>
        <w:t>W07.05 支持读题、下载允许的附件、创建适用实例、提交、查看结果和结束回收。题目操作服从场次阶段、并发和资源配额。</w:t>
      </w:r>
    </w:p>
    <w:p>
      <w:pPr>
        <w:pStyle w:val="Heading2"/>
      </w:pPr>
      <w:r>
        <w:t>验收</w:t>
      </w:r>
    </w:p>
    <w:p>
      <w:r>
        <w:t>两队完成同一任务各获一次奖励；同队成员并发提交、重复点击或事件重放，奖励总额仍只记一次。个人练习已经完成的题目，也需在本场正式实例中满足联赛完成条件。</w:t>
      </w:r>
    </w:p>
    <w:p>
      <w:r>
        <w:t>对动态实例题，验证一队的 Flag 在另一队实例中无效；源题修改后本场冻结版本保持一致；实例创建失败、判题服务中断和奖励写入中断后能够继续处理。</w:t>
      </w:r>
    </w:p>
    <w:p>
      <w:pPr>
        <w:pStyle w:val="Heading2"/>
      </w:pPr>
      <w:r>
        <w:t>接口责任</w:t>
      </w:r>
    </w:p>
    <w:p>
      <w:r>
        <w:t>内容与判题开发者负责返回题目快照、实例状态和验证结果；联赛后端负责场次权限、完成记录和奖励资格；账本后端负责金额写入。首期将可复用的判题逻辑整理为公开接口，由各业务共同调用。</w:t>
      </w:r>
    </w:p>
    <w:p>
      <w:pPr>
        <w:pStyle w:val="Heading1"/>
        <w:pageBreakBefore/>
      </w:pPr>
      <w:r>
        <w:t>10 场景 镜像与验证素材</w:t>
      </w:r>
    </w:p>
    <w:p>
      <w:r>
        <w:t>责任包：W08 场景和出题。该包可以由独立场景团队承接，与运行和裁判开发共同联调。</w:t>
      </w:r>
    </w:p>
    <w:p>
      <w:pPr>
        <w:pStyle w:val="Heading2"/>
      </w:pPr>
      <w:r>
        <w:t>W08 交付要求</w:t>
      </w:r>
    </w:p>
    <w:p>
      <w:r>
        <w:t>W08.01 交付首个对等 A/B 基础场景，明确初始核心系统、可购买组件、网络区、公开业务面、检查入口和资源需求。建议每队单独配发一套对等核心，经营资产使用初始 3000 金币购买；最终核心规则按 D02 确认。</w:t>
      </w:r>
    </w:p>
    <w:p>
      <w:r>
        <w:t>W08.02 每项业务提供签名或可校验摘要的镜像、版本、启动参数、服务端口、配置边界、业务规范及正常数据样例。镜像主文件由现有模板与存储体系管理。</w:t>
      </w:r>
    </w:p>
    <w:p>
      <w:r>
        <w:t>W08.03 攻击机提供标准和增强两档工具清单，说明资源差异、授权工具、会话记录与外网控制方式。选手现场编写脚本和调整工具的允许范围由 D05 冻结。</w:t>
      </w:r>
    </w:p>
    <w:p>
      <w:r>
        <w:t>W08.04 提供主办方使用的漏洞验证 EXP、健康 Checker、修复回归和 KO 证明素材。V1.2 的商店不出售 EXP、漏洞或自动攻击结果；验证素材由裁判和测试环境受控使用。</w:t>
      </w:r>
    </w:p>
    <w:p>
      <w:r>
        <w:t>W08.05 为 CTF 支线提供初、中、高三级任务，并说明难度、预期知识点、实例条件和完成验证。题目素材与正式实例的秘密分开交付。</w:t>
      </w:r>
    </w:p>
    <w:p>
      <w:pPr>
        <w:pStyle w:val="Heading2"/>
      </w:pPr>
      <w:r>
        <w:t>外部场景接入清单</w:t>
      </w:r>
    </w:p>
    <w:p>
      <w:r>
        <w:t>外部团队提交镜像摘要、启动和销毁方式、CPU/内存/磁盘需求、网络拓扑、服务端口、可公开字段、检查样例、证据输出及联系人。平台团队完成资源校验和适配，将其纳入 W02 的运行流程。</w:t>
      </w:r>
    </w:p>
    <w:p>
      <w:pPr>
        <w:pStyle w:val="Heading2"/>
      </w:pPr>
      <w:r>
        <w:t>验收</w:t>
      </w:r>
    </w:p>
    <w:p>
      <w:r>
        <w:t>在约定环境中从空资源创建场景，验证业务、检查器、证明链和销毁结果。两侧基础场景具备等价购买额度、收入上限及可用组件。镜像重建可复现；配置说明足以让另一位开发人员部署同一场景。</w:t>
      </w:r>
    </w:p>
    <w:p>
      <w:r>
        <w:t>主办方在赛前 14 天冻结 KO 语义和 Checker 业务规范，赛前 7 天冻结价格、收入、攻击机类型、工具镜像与库存。冻结后的版本变更由规则负责人审批并留痕。</w:t>
      </w:r>
    </w:p>
    <w:p>
      <w:pPr>
        <w:pStyle w:val="Heading1"/>
        <w:pageBreakBefore/>
      </w:pPr>
      <w:r>
        <w:t>11 队伍工作台 裁判台与观众大屏</w:t>
      </w:r>
    </w:p>
    <w:p>
      <w:r>
        <w:t>责任包：W09 队伍前端、W10 裁判与观赛；W01/W04/W06 提供相应数据与事件接口。</w:t>
      </w:r>
    </w:p>
    <w:p>
      <w:pPr>
        <w:pStyle w:val="Heading2"/>
      </w:pPr>
      <w:r>
        <w:t>W09 队伍工作台</w:t>
      </w:r>
    </w:p>
    <w:p>
      <w:r>
        <w:t>左侧显示商店和库存，中间显示本队场景画布，右侧显示金币、健康、告警及操作记录。卡片展示价格、收入、依赖、状态和可执行动作，操作前显示需要支付的金额或产生的影响。</w:t>
      </w:r>
    </w:p>
    <w:p>
      <w:r>
        <w:t>提供资产购买、部署进度、访问入口、恢复、CTF 任务和结果查询。对排队、失败、退款中、奖励待发放等状态给出明确提示。页面刷新、重连和重复操作后，继续显示同一订单和任务。</w:t>
      </w:r>
    </w:p>
    <w:p>
      <w:pPr>
        <w:pStyle w:val="Heading2"/>
      </w:pPr>
      <w:r>
        <w:t>W10 裁判与观赛</w:t>
      </w:r>
    </w:p>
    <w:p>
      <w:r>
        <w:t>裁判台实时查看两队状态、账本、检查结果、控制挑战和 VAR 事件。每项结论可打开关联交易、会话、网络和业务证据，裁判按授权确认或更正结果。</w:t>
      </w:r>
    </w:p>
    <w:p>
      <w:r>
        <w:t>观众端显示双方金币和收入、节点健康、攻击与恢复事件、CTF 完成、KO 挑战和赛果。观众流整体延迟 60 秒，服务端按时间和角色输出可见数据；直播重连后按序继续播放。</w:t>
      </w:r>
    </w:p>
    <w:p>
      <w:r>
        <w:t>命令事件保留可公开的工具、动作及结果，凭据、Flag、内部地址和隐藏检查参数在输出前脱敏。选手仅获取本队信息及规则允许的已发现目标信息。</w:t>
      </w:r>
    </w:p>
    <w:p>
      <w:pPr>
        <w:pStyle w:val="Heading2"/>
      </w:pPr>
      <w:r>
        <w:t>首期验收</w:t>
      </w:r>
    </w:p>
    <w:p>
      <w:r>
        <w:t>以真实业务事件驱动二维画布和大屏。观众在 30 秒内能判断领先方、经营策略、攻击节点和关键动作结果，由试用人员完成场景任务并反馈。测试跨队权限、提前读取观众事件、断线补播、乱序和脱敏。</w:t>
      </w:r>
    </w:p>
    <w:p>
      <w:r>
        <w:t>前端使用 vNext 壳层、feature API adapter、CSS Module 和语义 Token，检查 390、1366、1920、2560 像素宽度、日夜主题、键盘操作和减少动效设置。</w:t>
      </w:r>
    </w:p>
    <w:p>
      <w:pPr>
        <w:pStyle w:val="Heading2"/>
      </w:pPr>
      <w:r>
        <w:t>后续 3D</w:t>
      </w:r>
    </w:p>
    <w:p>
      <w:r>
        <w:t>3D 单独安排模型、镜头、节点状态映射和性能验收，复用首期事件接口。先完成二维业务与数据，再由 3D 负责人确认效果范围和工作量。</w:t>
      </w:r>
    </w:p>
    <w:p>
      <w:pPr>
        <w:pStyle w:val="Heading1"/>
        <w:pageBreakBefore/>
      </w:pPr>
      <w:r>
        <w:t>12 模块交接与接口约定</w:t>
      </w:r>
    </w:p>
    <w:p>
      <w:r>
        <w:t>下表为拟新增或适配的能力约定，字段用于确定接口职责。具体 HTTP 路径、DTO 和错误码在 M0 阶段共同评审后冻结。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984"/>
        <w:gridCol w:w="340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8EFF5"/>
          </w:tcPr>
          <w:p>
            <w:pPr>
              <w:pStyle w:val="GuideTableHeader"/>
            </w:pPr>
            <w:r>
              <w:t>调用能力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GuideTableHeader"/>
            </w:pPr>
            <w:r>
              <w:t>主要输入</w:t>
            </w:r>
          </w:p>
        </w:tc>
        <w:tc>
          <w:tcPr>
            <w:tcW w:type="dxa" w:w="3912"/>
            <w:vAlign w:val="center"/>
            <w:shd w:fill="E8EFF5"/>
          </w:tcPr>
          <w:p>
            <w:pPr>
              <w:pStyle w:val="GuideTableHeader"/>
            </w:pPr>
            <w:r>
              <w:t>输出与归属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查询题目版本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场次、任务、访问者身份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W07 返回题面及允许使用的资源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购买资产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场次、商品版本、幂等标识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W03 返回订单、金额、资产及操作状态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部署或恢复资产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逻辑资产、发布版本、资源需求、代次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W02 返回 operation、队列票据及 runtime 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提交任务答案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场次、任务、队伍上下文、答案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W07 返回 submission 和验证结果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提交检查结果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资产版本、运行代次、时间、结构化结果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W05 返回接收状态及证据标识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申请控制验证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场次、目标、会话、证据引用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W06 返回验证或挑战状态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发放奖励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已验证事件、规则版本、唯一业务键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W04 返回分录及余额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pStyle w:val="GuideTable"/>
            </w:pPr>
            <w:r>
              <w:t>查询事件与回放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场次、角色、游标、时间范围</w:t>
            </w:r>
          </w:p>
        </w:tc>
        <w:tc>
          <w:tcPr>
            <w:tcW w:type="dxa" w:w="3912"/>
            <w:vAlign w:val="center"/>
          </w:tcPr>
          <w:p>
            <w:pPr>
              <w:pStyle w:val="GuideTable"/>
            </w:pPr>
            <w:r>
              <w:t>W01/W10 返回授权范围内的有序事件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共同字段与行为</w:t>
      </w:r>
    </w:p>
    <w:p>
      <w:r>
        <w:t>身份和队伍由服务端认证及参赛关系校验。共享关联字段包括场次、队伍、逻辑资产、runtime、generation、规则或内容版本、幂等键、事件标识和时间。金额由规则服务计算。</w:t>
      </w:r>
    </w:p>
    <w:p>
      <w:r>
        <w:t>写操作区分已受理、处理中、完成和失败；失败时返回错误类型和重试条件。重复调用返回原操作，同键不同参数报冲突。异步回调和事件按至少一次投递处理，接收方根据事件标识去重。</w:t>
      </w:r>
    </w:p>
    <w:p>
      <w:r>
        <w:t>涉及部署的记录同时保留订单与统一队列关联。主站重启后从数据库及 Agent inventory 恢复状态。Redis 负责缓存和协调，账本、裁决和运行事实保存在 PostgreSQL。</w:t>
      </w:r>
    </w:p>
    <w:p>
      <w:pPr>
        <w:pStyle w:val="Heading2"/>
      </w:pPr>
      <w:r>
        <w:t>交接材料</w:t>
      </w:r>
    </w:p>
    <w:p>
      <w:r>
        <w:t>接口说明、请求响应样例、正常与失败数据、可运行演示入口、测试结果、版本兼容说明。联调前双方共同跑一次正常流程和一次失败恢复流程，再确认交接完成。</w:t>
      </w:r>
    </w:p>
    <w:p>
      <w:pPr>
        <w:pStyle w:val="Heading1"/>
        <w:pageBreakBefore/>
      </w:pPr>
      <w:r>
        <w:t>13 分工与责任安排</w:t>
      </w:r>
    </w:p>
    <w:p>
      <w:r>
        <w:t>当前按岗位安排，实际人名由会议认领。每个包指定一位主负责人；同一人员兼任多个包时，相应任务在排期中串行计算。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268"/>
        <w:gridCol w:w="2381"/>
        <w:gridCol w:w="4649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pStyle w:val="GuideTableHeader"/>
            </w:pPr>
            <w:r>
              <w:t>工作包</w:t>
            </w:r>
          </w:p>
        </w:tc>
        <w:tc>
          <w:tcPr>
            <w:tcW w:type="dxa" w:w="2381"/>
            <w:vAlign w:val="center"/>
            <w:shd w:fill="E8EFF5"/>
          </w:tcPr>
          <w:p>
            <w:pPr>
              <w:pStyle w:val="GuideTableHeader"/>
            </w:pPr>
            <w:r>
              <w:t>主负责岗位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pStyle w:val="GuideTableHeader"/>
            </w:pPr>
            <w:r>
              <w:t>交接对象与完成条件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W01 联赛主流程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主站后端兼技术协调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向各包提供场次、阶段和权限契约，集成赛果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W02 运行与组网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执行面开发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向 W03/W07 返回真实任务状态，向测试交付隔离与清理证据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W03 资产商店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交易后端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与 W04 确认扣款补偿，与 W02 确认部署关联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W04 金币账本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交易后端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对收入、奖励、退款及清算结果负责，提供可复算记录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W05 健康检查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检查器与裁判后端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与 W08 共同定义业务检查，向 W04 提供有效健康结果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W06 KO 与 VAR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检查器与裁判后端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与规则负责人确认判定，向 W01 提供已确认赛果事件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W07 CTF 适配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主站后端或内容开发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交付队伍题目、实例、判题回执及去重奖励条件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W08 场景与素材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场景和出题团队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向 W02/W05/W06 交付镜像、业务规范、Checker 和验证样例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W09 队伍工作台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前端开发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联调商店、画布、任务与反馈，完成多尺寸和权限验证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W10 裁判台与大屏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前端开发，主站后端配合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后端负责授权与延迟事件，前端负责展示和回放操作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GuideTable"/>
            </w:pPr>
            <w:r>
              <w:t>W11 联调与交付</w:t>
            </w:r>
          </w:p>
        </w:tc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测试人员，运维配合</w:t>
            </w:r>
          </w:p>
        </w:tc>
        <w:tc>
          <w:tcPr>
            <w:tcW w:type="dxa" w:w="4649"/>
            <w:vAlign w:val="center"/>
          </w:tcPr>
          <w:p>
            <w:pPr>
              <w:pStyle w:val="GuideTable"/>
            </w:pPr>
            <w:r>
              <w:t>维护验收用例、缺陷、试赛记录、部署与回收说明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r>
        <w:t>规则负责人由主办方指定，负责场景公平、金币参数、KO 语义和争议处理。技术协调人负责接口版本和集成顺序；各包负责人负责本包实现、测试和说明。</w:t>
      </w:r>
    </w:p>
    <w:p>
      <w:r>
        <w:t>建议同时具备主站后端、交易后端、执行面开发、裁判后端、前端、场景出题、测试这七类能力。规则和运维岗位可按阶段投入。该表表示责任分工，具体人数和兼职比例见 D01。</w:t>
      </w:r>
    </w:p>
    <w:p>
      <w:r>
        <w:t>适合外部团队承接的部分包括场景与验证素材、约定接口下的工作台与大屏、独立组网适配。账号授权、场次规则、账本与赛果接口由主站团队统一评审。</w:t>
      </w:r>
    </w:p>
    <w:p>
      <w:pPr>
        <w:pStyle w:val="Heading1"/>
        <w:pageBreakBefore/>
      </w:pPr>
      <w:r>
        <w:t>14 开发顺序与阶段安排</w:t>
      </w:r>
    </w:p>
    <w:p>
      <w:r>
        <w:t>以下为人员到位后的初步规划。估算假设：第 13 节各关键开发岗位能够同时推进，已有可用测试环境，首个场景的镜像与检查样例按时提供。负责人认领后再确认日期。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928"/>
        <w:gridCol w:w="1984"/>
        <w:gridCol w:w="5386"/>
      </w:tblGrid>
      <w:tr>
        <w:trPr>
          <w:cantSplit/>
          <w:tblHeader/>
        </w:trPr>
        <w:tc>
          <w:tcPr>
            <w:tcW w:type="dxa" w:w="1928"/>
            <w:vAlign w:val="center"/>
            <w:shd w:fill="E8EFF5"/>
          </w:tcPr>
          <w:p>
            <w:pPr>
              <w:pStyle w:val="GuideTableHeader"/>
            </w:pPr>
            <w:r>
              <w:t>阶段</w:t>
            </w:r>
          </w:p>
        </w:tc>
        <w:tc>
          <w:tcPr>
            <w:tcW w:type="dxa" w:w="1984"/>
            <w:vAlign w:val="center"/>
            <w:shd w:fill="E8EFF5"/>
          </w:tcPr>
          <w:p>
            <w:pPr>
              <w:pStyle w:val="GuideTableHeader"/>
            </w:pPr>
            <w:r>
              <w:t>建议工作时长</w:t>
            </w:r>
          </w:p>
        </w:tc>
        <w:tc>
          <w:tcPr>
            <w:tcW w:type="dxa" w:w="5386"/>
            <w:vAlign w:val="center"/>
            <w:shd w:fill="E8EFF5"/>
          </w:tcPr>
          <w:p>
            <w:pPr>
              <w:pStyle w:val="GuideTableHeader"/>
            </w:pPr>
            <w:r>
              <w:t>交付与通过条件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M0 规则与契约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2–3 个工作日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确认首期场景、未定规则、接口、负责人和环境；给出冻结版本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M1 首条业务流程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5–7 个工作日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双队入场，购买一种业务，部署并检查，完成收入入账、查询和回收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M2 联赛规则完成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8–12 个工作日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全部商品类别、CTF、GetShell、KO、恢复、终局、加时和二维界面联调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M3 故障与试赛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5–8 个工作日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并发、重启、补偿、隔离、观众延迟和完整试赛；关闭阻断缺陷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pStyle w:val="GuideTable"/>
            </w:pPr>
            <w:r>
              <w:t>M4 正式赛事准备</w:t>
            </w:r>
          </w:p>
        </w:tc>
        <w:tc>
          <w:tcPr>
            <w:tcW w:type="dxa" w:w="1984"/>
            <w:vAlign w:val="center"/>
          </w:tcPr>
          <w:p>
            <w:pPr>
              <w:pStyle w:val="GuideTable"/>
            </w:pPr>
            <w:r>
              <w:t>单独安排</w:t>
            </w:r>
          </w:p>
        </w:tc>
        <w:tc>
          <w:tcPr>
            <w:tcW w:type="dxa" w:w="5386"/>
            <w:vAlign w:val="center"/>
          </w:tcPr>
          <w:p>
            <w:pPr>
              <w:pStyle w:val="GuideTable"/>
            </w:pPr>
            <w:r>
              <w:t>完成 50 场盲测、平衡调整、版本冻结、操作培训和发布验收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r>
        <w:t>M0–M3 初步估算合计 20–30 个工作日，演示日期在人员和环境确认后确定。岗位投入减少、需要新建基础设施或重做场景时，重新估期。首次可运行演示以 M1 为目标，正式联赛验收以 M3 和 M4 的结果为准。</w:t>
      </w:r>
    </w:p>
    <w:p>
      <w:pPr>
        <w:pStyle w:val="Heading2"/>
      </w:pPr>
      <w:r>
        <w:t>可以同时推进的工作</w:t>
      </w:r>
    </w:p>
    <w:p>
      <w:r>
        <w:t>M0 后，W02 做部署与网络，W03/W04 做订单账本，W05/W06 做检查裁判，W08 做场景素材，W09/W10 按接口样例做页面。W01/W07 先完成身份、场次和内容适配，再接各包真实接口。样例数据仅用于开发，集成验收使用真实运行结果。</w:t>
      </w:r>
    </w:p>
    <w:p>
      <w:pPr>
        <w:pStyle w:val="Heading2"/>
      </w:pPr>
      <w:r>
        <w:t>依赖顺序</w:t>
      </w:r>
    </w:p>
    <w:p>
      <w:r>
        <w:t>首条流程按“场次 → 订单与扣款 → 队列部署 → 健康资格 → 收入分录 → 页面查询 → 回收”联调。之后接入 CTF 奖励、非核心攻破与恢复，最后完成核心挑战、VAR、终局清算和观众回放。</w:t>
      </w:r>
    </w:p>
    <w:p>
      <w:r>
        <w:t>每次合并前由接口接收方检查兼容性，由测试人员验证对应业务流程。主站技术协调人只集中处理跨包接口和集成问题，各包自行完成内部测试与文档。</w:t>
      </w:r>
    </w:p>
    <w:p>
      <w:r>
        <w:t>进入正式发布前，应关闭账本无法复算、重复发奖、跨队越权、错误 KO、证据泄露、关键实例无法回收及备份无法恢复等阻断问题。测试演示完成后，由规则、技术、测试和运维负责人分别签收职责范围。</w:t>
      </w:r>
    </w:p>
    <w:p>
      <w:pPr>
        <w:pStyle w:val="Heading1"/>
        <w:pageBreakBefore/>
      </w:pPr>
      <w:r>
        <w:t>15 验收与正式交付</w:t>
      </w:r>
    </w:p>
    <w:p>
      <w:r>
        <w:t>责任包：W11。各包提交本包测试证据，测试人员维护统一清单，规则负责人确认赛制结果，运维确认目标环境。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71"/>
        <w:gridCol w:w="3402"/>
        <w:gridCol w:w="4025"/>
      </w:tblGrid>
      <w:tr>
        <w:trPr>
          <w:cantSplit/>
          <w:tblHeader/>
        </w:trPr>
        <w:tc>
          <w:tcPr>
            <w:tcW w:type="dxa" w:w="1871"/>
            <w:vAlign w:val="center"/>
            <w:shd w:fill="E8EFF5"/>
          </w:tcPr>
          <w:p>
            <w:pPr>
              <w:pStyle w:val="GuideTableHeader"/>
            </w:pPr>
            <w:r>
              <w:t>验收项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GuideTableHeader"/>
            </w:pPr>
            <w:r>
              <w:t>实际操作</w:t>
            </w:r>
          </w:p>
        </w:tc>
        <w:tc>
          <w:tcPr>
            <w:tcW w:type="dxa" w:w="4025"/>
            <w:vAlign w:val="center"/>
            <w:shd w:fill="E8EFF5"/>
          </w:tcPr>
          <w:p>
            <w:pPr>
              <w:pStyle w:val="GuideTableHeader"/>
            </w:pPr>
            <w:r>
              <w:t>通过条件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双队完整场次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从准备运行至结算并回收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状态、金币、赛果及资源记录一致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交易并发与重试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并发购买、重复事件、失败退款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余额与配额正确，订单及奖励只处理一次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健康与恢复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正常、异常、攻破、恢复及探针故障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产币和恢复资格符合规则，证据可查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KO 与 VAR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权限证明、业务写入、6 次挑战、失败中断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正确判胜，争议事件可复核和更正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数据与资源恢复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主站重启、节点失联、回调迟到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能继续原操作，或明确记录需处理的失败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网络与权限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两队、不同场次、管理面、观众 API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访问范围正确，观众整体延迟 60 秒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运行效率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按指定硬件、镜像与并发启动服务和攻击机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报告完整时延，按约定统计口径验收 30 秒目标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pStyle w:val="GuideTable"/>
            </w:pPr>
            <w:r>
              <w:t>前端与可读性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四档宽度、主题、键盘和观众判断任务</w:t>
            </w:r>
          </w:p>
        </w:tc>
        <w:tc>
          <w:tcPr>
            <w:tcW w:type="dxa" w:w="4025"/>
            <w:vAlign w:val="center"/>
          </w:tcPr>
          <w:p>
            <w:pPr>
              <w:pStyle w:val="GuideTable"/>
            </w:pPr>
            <w:r>
              <w:t>操作可完成，状态清楚，敏感数据已脱敏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盲测与平衡</w:t>
      </w:r>
    </w:p>
    <w:p>
      <w:r>
        <w:t>V1.2 要求至少 50 场盲测，两侧胜率为 45%–55%，三档服务期望净值差异不超过 10%，单一服务或攻击机不形成长期支配策略。试验方案先定义平局、换边、选手能力差异、净值公式和样本统计方式，再留存逐场数据。</w:t>
      </w:r>
    </w:p>
    <w:p>
      <w:r>
        <w:t>按每场完整占用 100 分钟估算，50 场约需 83.3 个场地小时。单赛场每日运行 8 小时，至少安排 11 个工作日，另计换场和复盘；提前 KO 可缩短实占时间，但排期先保留完整窗口。增加并发场次前先验证资源和场间隔离。</w:t>
      </w:r>
    </w:p>
    <w:p>
      <w:pPr>
        <w:pStyle w:val="Heading2"/>
      </w:pPr>
      <w:r>
        <w:t>交付清单</w:t>
      </w:r>
    </w:p>
    <w:p>
      <w:r>
        <w:t>提交可识别版本的源码、数据库迁移与升级验证、API 说明、镜像/场景清单、Checker 和受控验证素材、自动化与真实环境报告、管理员和裁判操作手册。发布时使用新鲜备份、独立 release 目录、原子切换及明确回滚方案。</w:t>
      </w:r>
    </w:p>
    <w:p>
      <w:pPr>
        <w:pStyle w:val="Heading1"/>
        <w:pageBreakBefore/>
      </w:pPr>
      <w:r>
        <w:t>16 需要共同确认的事项</w:t>
      </w:r>
    </w:p>
    <w:p>
      <w:r>
        <w:t>已确认的首期范围为双队联赛、二维展示；3D 后续，AI 独立模块。下表决定项在 M0 阶段写入规则或计划，并记录确认人和日期。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24"/>
        <w:gridCol w:w="3969"/>
        <w:gridCol w:w="3005"/>
      </w:tblGrid>
      <w:tr>
        <w:trPr>
          <w:cantSplit/>
          <w:tblHeader/>
        </w:trPr>
        <w:tc>
          <w:tcPr>
            <w:tcW w:type="dxa" w:w="2324"/>
            <w:vAlign w:val="center"/>
            <w:shd w:fill="E8EFF5"/>
          </w:tcPr>
          <w:p>
            <w:pPr>
              <w:pStyle w:val="GuideTableHeader"/>
            </w:pPr>
            <w:r>
              <w:t>编号与负责人</w:t>
            </w:r>
          </w:p>
        </w:tc>
        <w:tc>
          <w:tcPr>
            <w:tcW w:type="dxa" w:w="3969"/>
            <w:vAlign w:val="center"/>
            <w:shd w:fill="E8EFF5"/>
          </w:tcPr>
          <w:p>
            <w:pPr>
              <w:pStyle w:val="GuideTableHeader"/>
            </w:pPr>
            <w:r>
              <w:t>需要确认的内容</w:t>
            </w:r>
          </w:p>
        </w:tc>
        <w:tc>
          <w:tcPr>
            <w:tcW w:type="dxa" w:w="3005"/>
            <w:vAlign w:val="center"/>
            <w:shd w:fill="E8EFF5"/>
          </w:tcPr>
          <w:p>
            <w:pPr>
              <w:pStyle w:val="GuideTableHeader"/>
            </w:pPr>
            <w:r>
              <w:t>本稿建议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D01 项目负责人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实际人员、兼职比例、演示日期、规则和技术总负责人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按第 13 节认领；人员与环境确定后确认 M1 日期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D02 规则与场景负责人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确认核心配发方案、是否占产币名额、选场景或随机方式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建议每队单独配发一套对等核心，经营资产另用 3000 金币购买，会上确认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D03 规则与账本负责人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基础场景收入、健康比例、取整、残值公式、恢复价格、构建期和加时价格、快速部署包配额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固定精度与唯一规则版本；所有示例先用该版本复算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D04 规则与裁判负责人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暂停计时、同时 KO、挑战截止、迟到事件、加时和清算顺序、VAR 改判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明确事件截止与裁判确认流程，提供边界场景例子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D05 规则与场景负责人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现场编写脚本、修改工具的允许范围，EXP 和检查素材的管理方式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选手工具和裁判验证素材分开授权，赛前公开操作边界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D06 运行与测试负责人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测试环境、硬件、并发场次、预热方式、30 秒启动统计标准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先验收一个完整双队场次，再评估扩大并发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D07 规则与测试负责人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50 场盲测人员与排期、胜率和平局算法、净值统计方式及证据留存安排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换边与记录规则先固定，试赛保留逐场证据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pStyle w:val="GuideTable"/>
            </w:pPr>
            <w:r>
              <w:t>D08 集成负责人</w:t>
            </w:r>
          </w:p>
        </w:tc>
        <w:tc>
          <w:tcPr>
            <w:tcW w:type="dxa" w:w="3969"/>
            <w:vAlign w:val="center"/>
          </w:tcPr>
          <w:p>
            <w:pPr>
              <w:pStyle w:val="GuideTable"/>
            </w:pPr>
            <w:r>
              <w:t>组网独立部署交付范围、外部场景资料和接口联系人</w:t>
            </w:r>
          </w:p>
        </w:tc>
        <w:tc>
          <w:tcPr>
            <w:tcW w:type="dxa" w:w="3005"/>
            <w:vAlign w:val="center"/>
          </w:tcPr>
          <w:p>
            <w:pPr>
              <w:pStyle w:val="GuideTable"/>
            </w:pPr>
            <w:r>
              <w:t>先完成公共接口与适配验证，再签收独立部署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决策记录格式</w:t>
      </w:r>
    </w:p>
    <w:p>
      <w:r>
        <w:t>每个决定项填写结论、适用版本、确认人、确认日期、受影响任务包和验收样例。尚未确认的经济或裁判参数保留为配置待定项，正式比赛启动前必须全部完成规则校验。</w:t>
      </w:r>
    </w:p>
    <w:p>
      <w:r>
        <w:t>新增需求写明业务用途、交付阶段、负责人及对既定任务的影响。会议结束时优先确认 D01、D02、D03、D04、D06，其他事项指定资料提供人和截止时间。</w:t>
      </w:r>
    </w:p>
    <w:p>
      <w:pPr>
        <w:pStyle w:val="Heading1"/>
        <w:pageBreakBefore/>
      </w:pPr>
      <w:r>
        <w:t>17 AI 独立模块的接入与分工</w:t>
      </w:r>
    </w:p>
    <w:p>
      <w:r>
        <w:t>AI 按独立业务模块规划，可服务培训和练习。它与联赛分别开发、估期和验收，共享平台身份、允许访问的内容和观测接口。正式比赛是否允许调用 AI，由具体赛事规则另行配置。</w:t>
      </w:r>
    </w:p>
    <w:p>
      <w:pPr>
        <w:pStyle w:val="Heading2"/>
      </w:pPr>
      <w:r>
        <w:t>A01 普通教学接入</w:t>
      </w:r>
    </w:p>
    <w:p>
      <w:r>
        <w:t>提供教学会话入口，服务端按用户权限选取课程、题目或实验上下文，调用约定的 AI 服务并返回答疑或分级提示。保存会话归属、引用来源、服务状态和使用额度。</w:t>
      </w:r>
    </w:p>
    <w:p>
      <w:r>
        <w:t>集成开发负责鉴权、上下文、服务调用、超时、取消与额度；前端负责入口、会话和反馈；教学负责人确认提示策略、答案开放条件及教师查看范围。验收覆盖正常问答、权限不足、服务故障和会话恢复。</w:t>
      </w:r>
    </w:p>
    <w:p>
      <w:pPr>
        <w:pStyle w:val="Heading2"/>
      </w:pPr>
      <w:r>
        <w:t>A02 流量与事件分析</w:t>
      </w:r>
    </w:p>
    <w:p>
      <w:r>
        <w:t>从已授权实验读取流量摘要、结构化事件或限定 PCAP 引用，返回带证据位置的教学分析报告。约定数据时间窗、采集字段、脱敏、大小限制、保留时间和报告可见范围。</w:t>
      </w:r>
    </w:p>
    <w:p>
      <w:r>
        <w:t>观测开发负责采集与查询接口，AI 集成开发负责分析调用及报告结构，教学负责人检查分析是否有可追溯依据。验收覆盖有数据、数据不足、跨用户访问拒绝和分析服务不可用。</w:t>
      </w:r>
    </w:p>
    <w:p>
      <w:pPr>
        <w:pStyle w:val="Heading2"/>
      </w:pPr>
      <w:r>
        <w:t>A03 模块管理与运营</w:t>
      </w:r>
    </w:p>
    <w:p>
      <w:r>
        <w:t>管理 AI 服务供应方、模型或服务版本、启停、额度和访问策略；记录调用耗时、失败和计费用量，按确认的权限查看会话及报告。教学内容版本和 AI 服务版本分别管理。</w:t>
      </w:r>
    </w:p>
    <w:p>
      <w:pPr>
        <w:pStyle w:val="Heading2"/>
      </w:pPr>
      <w:r>
        <w:t>启动前资料</w:t>
      </w:r>
    </w:p>
    <w:p>
      <w:r>
        <w:t>需提供 AI 服务协议、部署方式、可用接口、数据处理要求、费用规则和联系人。负责人先用一门课程、一项实验和一份授权流量样例完成接入验证，再决定扩展范围。</w:t>
      </w:r>
    </w:p>
    <w:p>
      <w:r>
        <w:t>AI 的人员、工作量和计划单列，联赛首期可以独立完成开发和验收。两者共用人员时，按实际投入比例重新计算排期。</w:t>
      </w:r>
    </w:p>
    <w:p>
      <w:pPr>
        <w:pStyle w:val="Heading1"/>
        <w:pageBreakBefore/>
      </w:pPr>
      <w:r>
        <w:t>18 需求依据与使用说明</w:t>
      </w:r>
    </w:p>
    <w:p>
      <w:pPr>
        <w:pStyle w:val="Heading2"/>
      </w:pPr>
      <w:r>
        <w:t>业务依据</w:t>
      </w:r>
    </w:p>
    <w:p>
      <w:r>
        <w:t>通话转写明确要求：联赛在平台内独立成模块，复用题目池、计分、组网和检查能力，按模块分工，并形成他人能接手的文档。关键位置为 00:46–02:15、03:37–07:26。</w:t>
      </w:r>
    </w:p>
    <w:p>
      <w:r>
        <w:t>《数字攻防联赛 赛事设计稿 V1.2 经营攻防清晰版》第 1–8 节提供本稿的赛程、价格、奖励、控制判定、观赛和验收规则。本稿修正了其旧图与正文的表达冲突，未定规则列在 D02–D07。</w:t>
      </w:r>
    </w:p>
    <w:p>
      <w:r>
        <w:t>本次已确定首期双队联赛、3D 后续、AI 独立模块。核心单独配发、3000 金币用于经营资产作为会议建议。岗位配置、M0–M3 估算、接口字段和技术方案一并评审，实际人名与日期在任务认领后补齐。</w:t>
      </w:r>
    </w:p>
    <w:p>
      <w:pPr>
        <w:pStyle w:val="Heading2"/>
      </w:pPr>
      <w:r>
        <w:t>当前代码依据</w:t>
      </w:r>
    </w:p>
    <w:p>
      <w:r>
        <w:t xml:space="preserve">核查提交为 </w:t>
      </w:r>
      <w:r>
        <w:rPr>
          <w:rFonts w:ascii="Consolas" w:hAnsi="Consolas"/>
          <w:sz w:val="21"/>
        </w:rPr>
        <w:t>origin/main 4bef3770467d6c6a5af638ee29f87bb906708ed8</w:t>
      </w:r>
      <w:r>
        <w:t>。本次 fetch 后该主线提交未变化，主要核查文件如下，路径相对于仓库根目录。</w:t>
      </w:r>
    </w:p>
    <w:p>
      <w:pPr>
        <w:ind w:left="255" w:hanging="255"/>
      </w:pPr>
      <w:r>
        <w:t xml:space="preserve">1. </w:t>
      </w:r>
      <w:r>
        <w:rPr>
          <w:rFonts w:ascii="Consolas" w:hAnsi="Consolas"/>
          <w:sz w:val="21"/>
        </w:rPr>
        <w:t>src/GZCTF/ClientApp/src/vnext/app/shell/moduleRegistry.ts</w:t>
      </w:r>
      <w:r>
        <w:t>：已有模块导航，联赛入口待新增。</w:t>
      </w:r>
    </w:p>
    <w:p>
      <w:pPr>
        <w:ind w:left="255" w:hanging="255"/>
      </w:pPr>
      <w:r>
        <w:t xml:space="preserve">2. </w:t>
      </w:r>
      <w:r>
        <w:rPr>
          <w:rFonts w:ascii="Consolas" w:hAnsi="Consolas"/>
          <w:sz w:val="21"/>
        </w:rPr>
        <w:t>src/GZCTF/Modules/Exercise/Application/IExerciseService.cs</w:t>
      </w:r>
      <w:r>
        <w:t>：个人练习实例和判题契约。</w:t>
      </w:r>
    </w:p>
    <w:p>
      <w:pPr>
        <w:ind w:left="255" w:hanging="255"/>
      </w:pPr>
      <w:r>
        <w:t xml:space="preserve">3. </w:t>
      </w:r>
      <w:r>
        <w:rPr>
          <w:rFonts w:ascii="Consolas" w:hAnsi="Consolas"/>
          <w:sz w:val="21"/>
        </w:rPr>
        <w:t>src/GZCTF/Modules/Exercise/Application/ExerciseManagementService.cs</w:t>
      </w:r>
      <w:r>
        <w:t>：比赛、培训与 AWDP 来源收录。</w:t>
      </w:r>
    </w:p>
    <w:p>
      <w:pPr>
        <w:ind w:left="255" w:hanging="255"/>
      </w:pPr>
      <w:r>
        <w:t xml:space="preserve">4. </w:t>
      </w:r>
      <w:r>
        <w:rPr>
          <w:rFonts w:ascii="Consolas" w:hAnsi="Consolas"/>
          <w:sz w:val="21"/>
        </w:rPr>
        <w:t>src/GZCTF/Services/AwdpCheckerService.cs</w:t>
      </w:r>
      <w:r>
        <w:t>：AWDP 轮次检查。</w:t>
      </w:r>
    </w:p>
    <w:p>
      <w:pPr>
        <w:ind w:left="255" w:hanging="255"/>
      </w:pPr>
      <w:r>
        <w:t xml:space="preserve">5. </w:t>
      </w:r>
      <w:r>
        <w:rPr>
          <w:rFonts w:ascii="Consolas" w:hAnsi="Consolas"/>
          <w:sz w:val="21"/>
        </w:rPr>
        <w:t>src/GZCTF/Modules/TeamLab/Application/ITeamLabRuntimeApplicationService.cs</w:t>
      </w:r>
      <w:r>
        <w:t>：计划、入队、生命周期及状态查询。</w:t>
      </w:r>
    </w:p>
    <w:p>
      <w:pPr>
        <w:ind w:left="255" w:hanging="255"/>
      </w:pPr>
      <w:r>
        <w:t xml:space="preserve">6. </w:t>
      </w:r>
      <w:r>
        <w:rPr>
          <w:rFonts w:ascii="Consolas" w:hAnsi="Consolas"/>
          <w:sz w:val="21"/>
        </w:rPr>
        <w:t>src/GZCTF/Modules/TeamLab/Api/OpenTeamLabRuntimesController.cs</w:t>
      </w:r>
      <w:r>
        <w:t xml:space="preserve"> 与 </w:t>
      </w:r>
      <w:r>
        <w:rPr>
          <w:rFonts w:ascii="Consolas" w:hAnsi="Consolas"/>
          <w:sz w:val="21"/>
        </w:rPr>
        <w:t>OpenTeamLabRolloutsController.cs</w:t>
      </w:r>
      <w:r>
        <w:t>：现有外部控制接口。</w:t>
      </w:r>
    </w:p>
    <w:p>
      <w:r>
        <w:t xml:space="preserve">架构和实施遵循 </w:t>
      </w:r>
      <w:r>
        <w:rPr>
          <w:rFonts w:ascii="Consolas" w:hAnsi="Consolas"/>
          <w:sz w:val="21"/>
        </w:rPr>
        <w:t>AGENTS.md</w:t>
      </w:r>
      <w:r>
        <w:t>、模块边界图、外部 API 标准、vNext 前端边界、TeamLab 组网最佳实践和生产发布手册。目标环境容量、可用镜像、故障恢复和规模指标在实施阶段实测。</w:t>
      </w:r>
    </w:p>
    <w:p>
      <w:pPr>
        <w:pStyle w:val="Heading2"/>
      </w:pPr>
      <w:r>
        <w:t>会后使用</w:t>
      </w:r>
    </w:p>
    <w:p>
      <w:r>
        <w:t>项目负责人根据第 13 节认领任务，第 16 节记录规则决定；各包负责人补充接口细节、估期和验收数据。Markdown 与 Word 保持同版，后续修改以文字稿为源文件同步生成。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 w:hint="eastAsia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200" w:after="160"/>
      <w:outlineLvl w:val="0"/>
    </w:pPr>
    <w:rPr>
      <w:rFonts w:ascii="SimHei" w:hAnsi="SimHei" w:eastAsia="SimHei" w:cs="SimHei" w:hint="eastAsia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SimHei" w:hAnsi="SimHei" w:eastAsia="SimHei" w:cs="SimHei" w:hint="eastAsia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60" w:line="240" w:lineRule="auto" w:before="0"/>
      <w:contextualSpacing/>
    </w:pPr>
    <w:rPr>
      <w:rFonts w:ascii="SimHei" w:hAnsi="SimHei" w:eastAsia="SimHei" w:cs="SimHei" w:hint="eastAsia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hot">
    <w:name w:val="Guide Shot"/>
    <w:basedOn w:val="Normal"/>
    <w:pPr>
      <w:spacing w:after="60" w:line="310" w:lineRule="exact"/>
    </w:pPr>
    <w:rPr>
      <w:rFonts w:ascii="SimSun" w:hAnsi="SimSun" w:eastAsia="SimSun" w:cs="SimSun" w:hint="eastAsia"/>
      <w:b w:val="0"/>
      <w:color w:val="4B5563"/>
      <w:sz w:val="21"/>
      <w:bCs w:val="0"/>
      <w:szCs w:val="21"/>
      <w:lang w:val="zh-CN" w:eastAsia="zh-CN"/>
    </w:rPr>
  </w:style>
  <w:style w:type="paragraph" w:customStyle="1" w:styleId="GuideTable">
    <w:name w:val="Guide Table"/>
    <w:basedOn w:val="Normal"/>
    <w:pPr>
      <w:spacing w:after="60" w:line="330" w:lineRule="exact"/>
    </w:pPr>
    <w:rPr>
      <w:rFonts w:ascii="SimSun" w:hAnsi="SimSun" w:eastAsia="SimSun" w:cs="SimSun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ShotTitle">
    <w:name w:val="Guide Shot Title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TableHeader">
    <w:name w:val="Guide Table Header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数字攻防联赛开发需求与分工稿</dc:title>
  <dc:subject>双队联赛功能需求、模块分工和验收安排</dc:subject>
  <dc:creator>YINYU</dc:creator>
  <cp:keywords>联赛,需求,分工,金币,裁判,组网</cp:keywords>
  <dc:description>generated by python-docx</dc:description>
  <cp:lastModifiedBy/>
  <cp:revision>1</cp:revision>
  <dcterms:created xsi:type="dcterms:W3CDTF">2026-09-14T00:00:00Z</dcterms:created>
  <dcterms:modified xsi:type="dcterms:W3CDTF">2026-09-14T00:00:00Z</dcterms:modified>
  <cp:category/>
</cp:coreProperties>
</file>