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隐喻平台产品说明</w:t>
      </w:r>
    </w:p>
    <w:p>
      <w:r>
        <w:t>YINYU 安全综合演练平台</w:t>
      </w:r>
    </w:p>
    <w:p>
      <w:r>
        <w:t>2026 年 9 月 14 日 · V0.1</w:t>
      </w:r>
    </w:p>
    <w:p>
      <w:pPr>
        <w:pStyle w:val="Heading1"/>
      </w:pPr>
      <w:r>
        <w:t>1 平台概况</w:t>
      </w:r>
    </w:p>
    <w:p>
      <w:r>
        <w:t>隐喻平台用于安全培训、日常练习和赛事组织。教师在平台上安排课程、实验和课后练习，学员按章节学习，也可以进入题库独立练习。赛事组织者可以创建比赛、配置题目、管理参赛队伍，并查看提交记录和成绩。</w:t>
      </w:r>
    </w:p>
    <w:p>
      <w:r>
        <w:t>平台把课程、题目和实验环境放在同一套系统中管理。使用者从网页进入相应业务，管理员集中维护账号、环境模板和执行节点。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701"/>
        <w:gridCol w:w="4195"/>
        <w:gridCol w:w="3402"/>
      </w:tblGrid>
      <w:tr>
        <w:trPr>
          <w:cantSplit/>
          <w:tblHeader/>
        </w:trPr>
        <w:tc>
          <w:tcPr>
            <w:tcW w:type="dxa" w:w="1701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使用场景</w:t>
            </w:r>
          </w:p>
        </w:tc>
        <w:tc>
          <w:tcPr>
            <w:tcW w:type="dxa" w:w="4195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主要内容</w:t>
            </w:r>
          </w:p>
        </w:tc>
        <w:tc>
          <w:tcPr>
            <w:tcW w:type="dxa" w:w="3402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使用结果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GuideTable"/>
            </w:pPr>
            <w:r>
              <w:t>培训课程</w:t>
            </w:r>
          </w:p>
        </w:tc>
        <w:tc>
          <w:tcPr>
            <w:tcW w:type="dxa" w:w="4195"/>
            <w:vAlign w:val="center"/>
          </w:tcPr>
          <w:p>
            <w:pPr>
              <w:pStyle w:val="GuideTable"/>
            </w:pPr>
            <w:r>
              <w:t>课程、章节、教学资源、实验和课后理论练习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学员完成学习任务，教师查看进度和成绩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GuideTable"/>
            </w:pPr>
            <w:r>
              <w:t>自主练习</w:t>
            </w:r>
          </w:p>
        </w:tc>
        <w:tc>
          <w:tcPr>
            <w:tcW w:type="dxa" w:w="4195"/>
            <w:vAlign w:val="center"/>
          </w:tcPr>
          <w:p>
            <w:pPr>
              <w:pStyle w:val="GuideTable"/>
            </w:pPr>
            <w:r>
              <w:t>题库检索、题目附件、实验实例和答案提交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学员按自己的进度练习，保留做题记录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GuideTable"/>
            </w:pPr>
            <w:r>
              <w:t>赛事组织</w:t>
            </w:r>
          </w:p>
        </w:tc>
        <w:tc>
          <w:tcPr>
            <w:tcW w:type="dxa" w:w="4195"/>
            <w:vAlign w:val="center"/>
          </w:tcPr>
          <w:p>
            <w:pPr>
              <w:pStyle w:val="GuideTable"/>
            </w:pPr>
            <w:r>
              <w:t>赛事配置、战队报名、题目、提交和榜单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组织者开展比赛，选手查看任务和比赛结果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页面入口</w:t>
      </w:r>
    </w:p>
    <w:p>
      <w:r>
        <w:t>首页集中展示赛事、课程和公告。侧边导航提供赛事中心、自主练习、培训课程和战队协作入口；具有管理权限的账号还可以进入平台管理、环境模板和 TeamLab。</w:t>
      </w:r>
    </w:p>
    <w:p>
      <w:pPr>
        <w:keepNext/>
        <w:spacing w:before="160"/>
      </w:pPr>
      <w:r>
        <w:rPr>
          <w:b/>
        </w:rPr>
        <w:t>待补截图 P01 平台首页与主要入口</w:t>
      </w:r>
    </w:p>
    <w:p>
      <w:pPr>
        <w:pStyle w:val="GuideShot"/>
        <w:keepNext/>
      </w:pPr>
      <w:r>
        <w:t xml:space="preserve">账号：普通学员；打开平台首页 </w:t>
      </w:r>
      <w:r>
        <w:rPr>
          <w:rFonts w:ascii="Consolas" w:hAnsi="Consolas"/>
          <w:sz w:val="21"/>
        </w:rPr>
        <w:t>/</w:t>
      </w:r>
      <w:r>
        <w:t>。</w:t>
      </w:r>
    </w:p>
    <w:p>
      <w:pPr>
        <w:pStyle w:val="GuideShot"/>
        <w:keepNext/>
      </w:pPr>
      <w:r>
        <w:t>截取：保留左侧导航、页面标题、赛事与课程区域，使用已有真实内容。</w:t>
      </w:r>
    </w:p>
    <w:p>
      <w:pPr>
        <w:pStyle w:val="GuideShot"/>
        <w:keepNext/>
      </w:pPr>
      <w:r>
        <w:t>标注：①箭头指向“赛事中心”；②指向“自主练习”；③指向“培训课程”。编号放在导航右侧空白处，箭头终点落在对应文字旁。</w:t>
      </w:r>
    </w:p>
    <w:p>
      <w:pPr>
        <w:pStyle w:val="GuideShot"/>
        <w:keepNext w:val="0"/>
      </w:pPr>
      <w:r>
        <w:t>图注：平台首页及学练赛入口。</w:t>
      </w:r>
    </w:p>
    <w:p>
      <w:pPr>
        <w:pStyle w:val="Heading1"/>
        <w:pageBreakBefore/>
      </w:pPr>
      <w:r>
        <w:t>2 培训课程</w:t>
      </w:r>
    </w:p>
    <w:p>
      <w:r>
        <w:t>教师可以按课程组织教学内容。每门课程包含简介、章节、资源和学习任务，学员报名后按课程安排学习。报名支持教师审核或自动通过，课程负责人可以添加共同授课教师。</w:t>
      </w:r>
    </w:p>
    <w:p>
      <w:pPr>
        <w:pStyle w:val="Heading2"/>
      </w:pPr>
      <w:r>
        <w:t>课程内容</w:t>
      </w:r>
    </w:p>
    <w:p>
      <w:r>
        <w:t>章节支持正文和视频，课程资源可以使用上传文件或外部链接。教师可以为章节配置实验题和理论练习，把知识讲解、动手操作和课后检查放在同一学习流程中。</w:t>
      </w:r>
    </w:p>
    <w:p>
      <w:r>
        <w:t>实验题提供题面、附件和适用的运行环境。学员启动实验、完成题目并提交 Flag 后，平台记录结果。理论练习支持单选、多选和判断题，教师可设置通过线、答案展示和重新作答规则。</w:t>
      </w:r>
    </w:p>
    <w:p>
      <w:pPr>
        <w:pStyle w:val="Heading2"/>
      </w:pPr>
      <w:r>
        <w:t>学习管理</w:t>
      </w:r>
    </w:p>
    <w:p>
      <w:r>
        <w:t>课程详情展示章节状态和学习进度。教师可以查看学员报名情况、章节完成情况、实验结果和理论成绩，再打开单个学员的学习详情。</w:t>
      </w:r>
    </w:p>
    <w:p>
      <w:r>
        <w:t>一门课程的常用准备顺序是：填写课程信息，编排章节，添加资源与实验，设置课后练习，检查学员视图，再发布课程并处理报名。</w:t>
      </w:r>
    </w:p>
    <w:p>
      <w:pPr>
        <w:keepNext/>
        <w:spacing w:before="160"/>
      </w:pPr>
      <w:r>
        <w:rPr>
          <w:b/>
        </w:rPr>
        <w:t>待补截图 P02 课程内容与学习安排</w:t>
      </w:r>
    </w:p>
    <w:p>
      <w:pPr>
        <w:pStyle w:val="GuideShot"/>
        <w:keepNext/>
      </w:pPr>
      <w:r>
        <w:t>账号：课程教师；打开一门已配置内容的课程，切换到“课程章节”。</w:t>
      </w:r>
    </w:p>
    <w:p>
      <w:pPr>
        <w:pStyle w:val="GuideShot"/>
        <w:keepNext/>
      </w:pPr>
      <w:r>
        <w:t>截取：保留课程名称、页签和章节列表；列表中尽量同时包含正文、实验或理论任务说明。</w:t>
      </w:r>
    </w:p>
    <w:p>
      <w:pPr>
        <w:pStyle w:val="GuideShot"/>
        <w:keepNext/>
      </w:pPr>
      <w:r>
        <w:t>标注：①指向课程名称；②用细框圈出章节列表；③箭头指向“学习状态”页签。框线沿区域外边缘绘制。</w:t>
      </w:r>
    </w:p>
    <w:p>
      <w:pPr>
        <w:pStyle w:val="GuideShot"/>
        <w:keepNext w:val="0"/>
      </w:pPr>
      <w:r>
        <w:t>图注：课程章节与学习管理入口。</w:t>
      </w:r>
    </w:p>
    <w:p>
      <w:pPr>
        <w:pStyle w:val="Heading2"/>
      </w:pPr>
      <w:r>
        <w:t>适用安排</w:t>
      </w:r>
    </w:p>
    <w:p>
      <w:r>
        <w:t>培训班可由教师统一安排章节和考核；公开自学课程可使用自动报名，由学员自行完成任务。课程内容的编辑、学员管理和学习访问分别按账号角色及课程授权开放。</w:t>
      </w:r>
    </w:p>
    <w:p>
      <w:pPr>
        <w:pStyle w:val="Heading1"/>
        <w:pageBreakBefore/>
      </w:pPr>
      <w:r>
        <w:t>3 自主练习</w:t>
      </w:r>
    </w:p>
    <w:p>
      <w:r>
        <w:t>自主练习提供独立题库。学员可以按题目名称、分类、难度、标签和完成状态筛选题目，查看题面、提示及附件。容器类题目可在页面创建实例，并显示访问入口、剩余时间和延期、销毁操作。</w:t>
      </w:r>
    </w:p>
    <w:p>
      <w:r>
        <w:t>题目支持一次或多个 Flag 提交步骤。平台记录提交次数、判题结果和完成状态，并提供练习统计。教师可以管理练习题，并将符合条件的比赛题、培训习题和 AWDP 服务内容收录到题库。</w:t>
      </w:r>
    </w:p>
    <w:p>
      <w:pPr>
        <w:keepNext/>
        <w:spacing w:before="160"/>
      </w:pPr>
      <w:r>
        <w:rPr>
          <w:b/>
        </w:rPr>
        <w:t>待补截图 P03 题库浏览</w:t>
      </w:r>
    </w:p>
    <w:p>
      <w:pPr>
        <w:pStyle w:val="GuideShot"/>
        <w:keepNext/>
      </w:pPr>
      <w:r>
        <w:t xml:space="preserve">账号：学员；打开“自主练习”的题库浏览页 </w:t>
      </w:r>
      <w:r>
        <w:rPr>
          <w:rFonts w:ascii="Consolas" w:hAnsi="Consolas"/>
          <w:sz w:val="21"/>
        </w:rPr>
        <w:t>/practice/browse</w:t>
      </w:r>
      <w:r>
        <w:t>。</w:t>
      </w:r>
    </w:p>
    <w:p>
      <w:pPr>
        <w:pStyle w:val="GuideShot"/>
        <w:keepNext/>
      </w:pPr>
      <w:r>
        <w:t>截取：保留搜索栏、分类和难度筛选，以及数道真实题目的列表。</w:t>
      </w:r>
    </w:p>
    <w:p>
      <w:pPr>
        <w:pStyle w:val="GuideShot"/>
        <w:keepNext/>
      </w:pPr>
      <w:r>
        <w:t>标注：①指向搜索栏；②用细框圈出难度筛选；③指向题目的完成状态。每个编号只对应一个说明。</w:t>
      </w:r>
    </w:p>
    <w:p>
      <w:pPr>
        <w:pStyle w:val="GuideShot"/>
        <w:keepNext w:val="0"/>
      </w:pPr>
      <w:r>
        <w:t>图注：按分类和难度选择练习题。</w:t>
      </w:r>
    </w:p>
    <w:p>
      <w:pPr>
        <w:pStyle w:val="Heading1"/>
      </w:pPr>
      <w:r>
        <w:t>4 赛事组织</w:t>
      </w:r>
    </w:p>
    <w:p>
      <w:r>
        <w:t>赛事中心提供比赛介绍、赛程、报名和比赛工作区。选手通过战队参加比赛，在已开放的题目中完成任务、提交答案，并查看榜单。管理员负责题目、报名审核、赛区和公告。</w:t>
      </w:r>
    </w:p>
    <w:p>
      <w:r>
        <w:t>CTF 比赛支持附件题、静态或动态 Flag，以及 Docker 和虚拟机环境。理论考试提供试卷、草稿保存、最终提交和成绩查看。AWDP 提供按轮次进行的攻击、修补、服务健康检查和结果记录。TeamLab 相关赛场提供网络场景、任务目标和运行环境入口。</w:t>
      </w:r>
    </w:p>
    <w:p>
      <w:pPr>
        <w:keepNext/>
        <w:spacing w:before="160"/>
      </w:pPr>
      <w:r>
        <w:rPr>
          <w:b/>
        </w:rPr>
        <w:t>待补截图 P04 比赛工作区</w:t>
      </w:r>
    </w:p>
    <w:p>
      <w:pPr>
        <w:pStyle w:val="GuideShot"/>
        <w:keepNext/>
      </w:pPr>
      <w:r>
        <w:t>账号：已通过报名的选手；打开一场已开放的比赛题目页。</w:t>
      </w:r>
    </w:p>
    <w:p>
      <w:pPr>
        <w:pStyle w:val="GuideShot"/>
        <w:keepNext/>
      </w:pPr>
      <w:r>
        <w:t>截取：保留比赛名称、工作区导航、题目列表及一处题目状态。</w:t>
      </w:r>
    </w:p>
    <w:p>
      <w:pPr>
        <w:pStyle w:val="GuideShot"/>
        <w:keepNext/>
      </w:pPr>
      <w:r>
        <w:t>标注：①指向比赛名称；②指向题目列表；③指向“榜单”或当前页面对应的成绩入口，按实际文字标注。</w:t>
      </w:r>
    </w:p>
    <w:p>
      <w:pPr>
        <w:pStyle w:val="GuideShot"/>
        <w:keepNext w:val="0"/>
      </w:pPr>
      <w:r>
        <w:t>图注：比赛任务与成绩入口。</w:t>
      </w:r>
    </w:p>
    <w:p>
      <w:pPr>
        <w:pStyle w:val="Heading1"/>
        <w:pageBreakBefore/>
      </w:pPr>
      <w:r>
        <w:t>5 环境与平台管理</w:t>
      </w:r>
    </w:p>
    <w:p>
      <w:r>
        <w:t>平台通过环境模板和执行节点创建实验实例。管理员可以维护 Docker 镜像、虚拟机模板、节点和部署队列，查看任务进度、实例状态及运行日志。题目、课程实验和组网场景使用这些资源提供实际操作环境。</w:t>
      </w:r>
    </w:p>
    <w:p>
      <w:r>
        <w:t>TeamLab 用于设计和运行多网段场景。管理员编辑网络拓扑、选择资产并发布版本，再按版本创建运行环境。运行页面提供资产状态、访问授权、流量观测、抓包及受授权的远程操作。开放 API 供外部系统接入资源管理和场景生命周期。</w:t>
      </w:r>
    </w:p>
    <w:p>
      <w:pPr>
        <w:keepNext/>
        <w:spacing w:before="160"/>
      </w:pPr>
      <w:r>
        <w:rPr>
          <w:b/>
        </w:rPr>
        <w:t>待补截图 P05 TeamLab 场景运行概况</w:t>
      </w:r>
    </w:p>
    <w:p>
      <w:pPr>
        <w:pStyle w:val="GuideShot"/>
        <w:keepNext/>
      </w:pPr>
      <w:r>
        <w:t>账号：具有 TeamLab 管理权限的账号；打开一个已部署场景的运行详情。</w:t>
      </w:r>
    </w:p>
    <w:p>
      <w:pPr>
        <w:pStyle w:val="GuideShot"/>
        <w:keepNext/>
      </w:pPr>
      <w:r>
        <w:t>截取：保留场景名称、运行状态和资产列表或拓扑；展示业务网络和资产名称。</w:t>
      </w:r>
    </w:p>
    <w:p>
      <w:pPr>
        <w:pStyle w:val="GuideShot"/>
        <w:keepNext/>
      </w:pPr>
      <w:r>
        <w:t>标注：①指向运行状态；②用细框圈出资产区域；③指向流量或抓包入口。远程连接凭据和内部管理地址先遮盖再截图。</w:t>
      </w:r>
    </w:p>
    <w:p>
      <w:pPr>
        <w:pStyle w:val="GuideShot"/>
        <w:keepNext w:val="0"/>
      </w:pPr>
      <w:r>
        <w:t>图注：组网场景的运行状态与观测入口。</w:t>
      </w:r>
    </w:p>
    <w:p>
      <w:pPr>
        <w:pStyle w:val="Heading2"/>
      </w:pPr>
      <w:r>
        <w:t>角色分工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角色</w:t>
            </w:r>
          </w:p>
        </w:tc>
        <w:tc>
          <w:tcPr>
            <w:tcW w:type="dxa" w:w="6917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常用操作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学员和选手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参加课程、完成练习、组队报名、提交答案、查看个人结果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教师和出题人员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准备课程与题目、安排实验和理论练习、查看学员学习情况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赛事管理员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设置比赛、维护题目和赛区、审核报名、发布公告、查看比赛结果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平台管理员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维护账号、模板、节点、队列和系统设置，处理运行问题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使用条件</w:t>
      </w:r>
    </w:p>
    <w:p>
      <w:r>
        <w:t>具体菜单与操作权限由账号角色、课程授权和赛事状态决定。课程、题目和实验环境由教师及管理员提前准备。Docker、虚拟机、AWDP 和 TeamLab 的可用范围，还取决于当前部署的节点能力、镜像和场景验收情况。</w:t>
      </w:r>
    </w:p>
    <w:p>
      <w:r>
        <w:t>数字攻防联赛和 AI 教学接入属于后续建设内容，另行编制开发需求。</w:t>
      </w:r>
    </w:p>
    <w:p>
      <w:pPr>
        <w:pStyle w:val="Heading2"/>
      </w:pPr>
      <w:r>
        <w:t>配图补充</w:t>
      </w:r>
    </w:p>
    <w:p>
      <w:r>
        <w:t>本文保留 P01–P05 五处截图位置。补图时使用同一浏览器缩放比例和页面主题，保存 PNG 原图及标注图。箭头用单一颜色、约 2 像素线宽，编号依照各图说明放置；插图后可删去“账号、截取、标注”说明，保留图注。</w:t>
      </w:r>
    </w:p>
    <w:sectPr w:rsidR="00FC693F" w:rsidRPr="0006063C" w:rsidSect="00034616">
      <w:footerReference w:type="default" r:id="rId9"/>
      <w:pgSz w:w="11906" w:h="16838"/>
      <w:pgMar w:top="1077" w:right="1304" w:bottom="1077" w:left="130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微软雅黑" w:hAnsi="微软雅黑" w:eastAsia="微软雅黑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hot">
    <w:name w:val="Guide Shot"/>
    <w:basedOn w:val="Normal"/>
    <w:pPr>
      <w:spacing w:after="60" w:line="310" w:lineRule="exact"/>
    </w:pPr>
    <w:rPr>
      <w:rFonts w:ascii="微软雅黑" w:hAnsi="微软雅黑" w:eastAsia="微软雅黑"/>
      <w:b w:val="0"/>
      <w:color w:val="4B5563"/>
      <w:sz w:val="21"/>
    </w:rPr>
  </w:style>
  <w:style w:type="paragraph" w:customStyle="1" w:styleId="GuideTable">
    <w:name w:val="Guide Table"/>
    <w:basedOn w:val="Normal"/>
    <w:pPr>
      <w:spacing w:after="60" w:line="330" w:lineRule="exact"/>
    </w:pPr>
    <w:rPr>
      <w:rFonts w:ascii="微软雅黑" w:hAnsi="微软雅黑" w:eastAsia="微软雅黑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隐喻平台产品说明</dc:title>
  <dc:subject>平台功能和操作说明，附截图补充指引</dc:subject>
  <dc:creator>YINYU</dc:creator>
  <cp:keywords>隐喻平台,培训,练习,赛事,使用手册</cp:keywords>
  <dc:description>generated by python-docx</dc:description>
  <cp:lastModifiedBy/>
  <cp:revision>1</cp:revision>
  <dcterms:created xsi:type="dcterms:W3CDTF">2026-09-14T00:00:00Z</dcterms:created>
  <dcterms:modified xsi:type="dcterms:W3CDTF">2026-09-14T00:00:00Z</dcterms:modified>
  <cp:category/>
</cp:coreProperties>
</file>