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90AE7">
      <w:pPr>
        <w:pStyle w:val="31"/>
        <w:spacing w:before="1080"/>
        <w:jc w:val="left"/>
      </w:pPr>
      <w:bookmarkStart w:id="0" w:name="_GoBack"/>
      <w:bookmarkEnd w:id="0"/>
      <w:r>
        <w:rPr>
          <w:rFonts w:ascii="微软雅黑" w:hAnsi="微软雅黑" w:eastAsia="微软雅黑"/>
        </w:rPr>
        <w:t>组网图形化操作手册</w:t>
      </w:r>
    </w:p>
    <w:p w14:paraId="04DC83E9">
      <w:pPr>
        <w:keepNext/>
        <w:spacing w:before="80" w:after="60"/>
        <w:jc w:val="center"/>
      </w:pPr>
      <w:r>
        <w:drawing>
          <wp:inline distT="0" distB="0" distL="114300" distR="114300">
            <wp:extent cx="5806440" cy="362902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796D">
      <w:r>
        <w:br w:type="page"/>
      </w:r>
    </w:p>
    <w:p w14:paraId="527A648D">
      <w:pPr>
        <w:pStyle w:val="4"/>
      </w:pPr>
      <w:r>
        <w:rPr>
          <w:rFonts w:ascii="微软雅黑" w:hAnsi="微软雅黑" w:eastAsia="微软雅黑"/>
        </w:rPr>
        <w:t>完整操作路径</w:t>
      </w:r>
    </w:p>
    <w:p w14:paraId="3DBF1752">
      <w:pPr>
        <w:pStyle w:val="14"/>
        <w:spacing w:after="80"/>
      </w:pPr>
      <w:r>
        <w:rPr>
          <w:rFonts w:ascii="微软雅黑" w:hAnsi="微软雅黑" w:eastAsia="微软雅黑"/>
        </w:rPr>
        <w:t>登录管理端并进入组网场景库。</w:t>
      </w:r>
    </w:p>
    <w:p w14:paraId="23283A02">
      <w:pPr>
        <w:pStyle w:val="14"/>
        <w:spacing w:after="80"/>
      </w:pPr>
      <w:r>
        <w:rPr>
          <w:rFonts w:ascii="微软雅黑" w:hAnsi="微软雅黑" w:eastAsia="微软雅黑"/>
        </w:rPr>
        <w:t>准备设备包、连接器、镜像模板和可调度节点。</w:t>
      </w:r>
    </w:p>
    <w:p w14:paraId="71E3FA7C">
      <w:pPr>
        <w:pStyle w:val="14"/>
        <w:spacing w:after="80"/>
      </w:pPr>
      <w:r>
        <w:rPr>
          <w:rFonts w:ascii="微软雅黑" w:hAnsi="微软雅黑" w:eastAsia="微软雅黑"/>
        </w:rPr>
        <w:t>创建场景，完成网段、资产、连接、依赖和观测配置。</w:t>
      </w:r>
    </w:p>
    <w:p w14:paraId="2DADAFE0">
      <w:pPr>
        <w:pStyle w:val="14"/>
        <w:spacing w:after="80"/>
      </w:pPr>
      <w:r>
        <w:rPr>
          <w:rFonts w:ascii="微软雅黑" w:hAnsi="微软雅黑" w:eastAsia="微软雅黑"/>
        </w:rPr>
        <w:t>保存草稿，执行服务端校验并发布不可变版本。</w:t>
      </w:r>
    </w:p>
    <w:p w14:paraId="402117DF">
      <w:pPr>
        <w:pStyle w:val="14"/>
        <w:spacing w:after="80"/>
      </w:pPr>
      <w:r>
        <w:rPr>
          <w:rFonts w:ascii="微软雅黑" w:hAnsi="微软雅黑" w:eastAsia="微软雅黑"/>
        </w:rPr>
        <w:t>从发布版本创建试运行，等待运行任务进入完成状态。</w:t>
      </w:r>
    </w:p>
    <w:p w14:paraId="6ED31168">
      <w:pPr>
        <w:pStyle w:val="14"/>
        <w:spacing w:after="80"/>
      </w:pPr>
      <w:r>
        <w:rPr>
          <w:rFonts w:ascii="微软雅黑" w:hAnsi="微软雅黑" w:eastAsia="微软雅黑"/>
        </w:rPr>
        <w:t>在运行详情中完成运维、观测、会话审计和故障演练。</w:t>
      </w:r>
    </w:p>
    <w:p w14:paraId="549B1EC3">
      <w:pPr>
        <w:pStyle w:val="14"/>
        <w:spacing w:after="80"/>
      </w:pPr>
      <w:r>
        <w:rPr>
          <w:rFonts w:ascii="微软雅黑" w:hAnsi="微软雅黑" w:eastAsia="微软雅黑"/>
        </w:rPr>
        <w:t>销毁运行实例，确认资产、网络、租约和临时入口均已回收。</w:t>
      </w:r>
    </w:p>
    <w:p w14:paraId="4AC41ED4">
      <w:pPr>
        <w:pStyle w:val="4"/>
      </w:pPr>
      <w:r>
        <w:rPr>
          <w:rFonts w:ascii="微软雅黑" w:hAnsi="微软雅黑" w:eastAsia="微软雅黑"/>
        </w:rPr>
        <w:t>对象关系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1225E3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17231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A83A1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3572" w:type="dxa"/>
            <w:shd w:val="clear" w:color="auto" w:fill="17231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80DE6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w="3969" w:type="dxa"/>
            <w:shd w:val="clear" w:color="auto" w:fill="17231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25C99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使用原则</w:t>
            </w:r>
          </w:p>
        </w:tc>
      </w:tr>
      <w:tr w14:paraId="633EA8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2ABB4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场景草稿</w:t>
            </w:r>
          </w:p>
        </w:tc>
        <w:tc>
          <w:tcPr>
            <w:tcW w:w="35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2154C4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可编辑的网络与资产设计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88779D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草稿变化不影响已发布版本</w:t>
            </w:r>
          </w:p>
        </w:tc>
      </w:tr>
      <w:tr w14:paraId="27D9BC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557AA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发布版本</w:t>
            </w:r>
          </w:p>
        </w:tc>
        <w:tc>
          <w:tcPr>
            <w:tcW w:w="3572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8AFB6A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冻结某次通过校验的设计</w:t>
            </w:r>
          </w:p>
        </w:tc>
        <w:tc>
          <w:tcPr>
            <w:tcW w:w="3969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3280D8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比赛、培训和试运行只绑定发布版本</w:t>
            </w:r>
          </w:p>
        </w:tc>
      </w:tr>
      <w:tr w14:paraId="0958F1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EBD4C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运行实例</w:t>
            </w:r>
          </w:p>
        </w:tc>
        <w:tc>
          <w:tcPr>
            <w:tcW w:w="35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A4DED3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按发布版本创建的隔离环境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728A29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每次创建或重置都有独立代次</w:t>
            </w:r>
          </w:p>
        </w:tc>
      </w:tr>
      <w:tr w14:paraId="2EB61A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8FA95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部署票据</w:t>
            </w:r>
          </w:p>
        </w:tc>
        <w:tc>
          <w:tcPr>
            <w:tcW w:w="3572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DBAAC6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统一记录异步运行任务</w:t>
            </w:r>
          </w:p>
        </w:tc>
        <w:tc>
          <w:tcPr>
            <w:tcW w:w="3969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BF09AA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不要用页面刷新替代任务状态判断</w:t>
            </w:r>
          </w:p>
        </w:tc>
      </w:tr>
      <w:tr w14:paraId="2D0B28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E62EA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现场连接器</w:t>
            </w:r>
          </w:p>
        </w:tc>
        <w:tc>
          <w:tcPr>
            <w:tcW w:w="35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98C95C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把专用物理网卡接入某个运行网段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2FD80C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先登记和探测，再由运行实例独占租用</w:t>
            </w:r>
          </w:p>
        </w:tc>
      </w:tr>
    </w:tbl>
    <w:p w14:paraId="70E1ED76">
      <w:pPr>
        <w:spacing w:after="20"/>
      </w:pPr>
    </w:p>
    <w:p w14:paraId="32B3D098">
      <w:pPr>
        <w:pStyle w:val="3"/>
      </w:pPr>
      <w:r>
        <w:rPr>
          <w:rFonts w:ascii="微软雅黑" w:hAnsi="微软雅黑" w:eastAsia="微软雅黑"/>
        </w:rPr>
        <w:t>本地演示环境启动</w:t>
      </w:r>
    </w:p>
    <w:p w14:paraId="037D9157">
      <w:pPr>
        <w:pStyle w:val="4"/>
      </w:pPr>
      <w:r>
        <w:rPr>
          <w:rFonts w:ascii="微软雅黑" w:hAnsi="微软雅黑" w:eastAsia="微软雅黑"/>
        </w:rPr>
        <w:t>启动依赖服务</w:t>
      </w:r>
    </w:p>
    <w:p w14:paraId="06BBA2A6">
      <w:pPr>
        <w:spacing w:before="40" w:after="100"/>
        <w:ind w:left="369"/>
      </w:pPr>
      <w:r>
        <w:rPr>
          <w:rFonts w:ascii="Cascadia Mono" w:hAnsi="Cascadia Mono" w:eastAsia="微软雅黑"/>
          <w:color w:val="17231F"/>
          <w:sz w:val="18"/>
        </w:rPr>
        <w:t>docker compose -f docker-compose.dev.yml up -d</w:t>
      </w:r>
    </w:p>
    <w:p w14:paraId="4BBC7BF6">
      <w:pPr>
        <w:pStyle w:val="4"/>
      </w:pPr>
      <w:r>
        <w:rPr>
          <w:rFonts w:ascii="微软雅黑" w:hAnsi="微软雅黑" w:eastAsia="微软雅黑"/>
        </w:rPr>
        <w:t>启动主站</w:t>
      </w:r>
    </w:p>
    <w:p w14:paraId="02E13A20">
      <w:pPr>
        <w:spacing w:before="40" w:after="100"/>
        <w:ind w:left="369"/>
      </w:pPr>
      <w:r>
        <w:rPr>
          <w:rFonts w:ascii="Cascadia Mono" w:hAnsi="Cascadia Mono" w:eastAsia="微软雅黑"/>
          <w:color w:val="17231F"/>
          <w:sz w:val="18"/>
        </w:rPr>
        <w:t>dotnet run --project src/GZCTF/GZCTF.csproj</w:t>
      </w:r>
    </w:p>
    <w:p w14:paraId="71EED388">
      <w:pPr>
        <w:pStyle w:val="4"/>
      </w:pPr>
      <w:r>
        <w:rPr>
          <w:rFonts w:ascii="微软雅黑" w:hAnsi="微软雅黑" w:eastAsia="微软雅黑"/>
        </w:rPr>
        <w:t>启动前端</w:t>
      </w:r>
    </w:p>
    <w:p w14:paraId="77EF0FA8">
      <w:pPr>
        <w:spacing w:before="40" w:after="100"/>
        <w:ind w:left="369"/>
      </w:pPr>
      <w:r>
        <w:rPr>
          <w:rFonts w:ascii="Cascadia Mono" w:hAnsi="Cascadia Mono" w:eastAsia="微软雅黑"/>
          <w:color w:val="17231F"/>
          <w:sz w:val="18"/>
        </w:rPr>
        <w:t>cd src/GZCTF/ClientApp</w:t>
      </w:r>
      <w:r>
        <w:rPr>
          <w:rFonts w:ascii="Cascadia Mono" w:hAnsi="Cascadia Mono" w:eastAsia="微软雅黑"/>
          <w:color w:val="17231F"/>
          <w:sz w:val="18"/>
        </w:rPr>
        <w:br w:type="textWrapping"/>
      </w:r>
      <w:r>
        <w:rPr>
          <w:rFonts w:ascii="Cascadia Mono" w:hAnsi="Cascadia Mono" w:eastAsia="微软雅黑"/>
          <w:color w:val="17231F"/>
          <w:sz w:val="18"/>
        </w:rPr>
        <w:t>pnpm install</w:t>
      </w:r>
      <w:r>
        <w:rPr>
          <w:rFonts w:ascii="Cascadia Mono" w:hAnsi="Cascadia Mono" w:eastAsia="微软雅黑"/>
          <w:color w:val="17231F"/>
          <w:sz w:val="18"/>
        </w:rPr>
        <w:br w:type="textWrapping"/>
      </w:r>
      <w:r>
        <w:rPr>
          <w:rFonts w:ascii="Cascadia Mono" w:hAnsi="Cascadia Mono" w:eastAsia="微软雅黑"/>
          <w:color w:val="17231F"/>
          <w:sz w:val="18"/>
        </w:rPr>
        <w:t>pnpm dev --host 127.0.0.1</w:t>
      </w:r>
    </w:p>
    <w:p w14:paraId="74350CA9">
      <w:r>
        <w:rPr>
          <w:rFonts w:ascii="微软雅黑" w:hAnsi="微软雅黑" w:eastAsia="微软雅黑"/>
        </w:rPr>
        <w:t>本次手册截图环境的前端地址为 http://127.0.0.1:63000/，后端地址为 http://127.0.0.1:8080/。端口由本地 Vite 与 Kestrel 配置决定，若控制台显示不同地址，以实际输出为准。</w:t>
      </w:r>
    </w:p>
    <w:p w14:paraId="2A2C126D">
      <w:pPr>
        <w:pStyle w:val="4"/>
      </w:pPr>
      <w:r>
        <w:rPr>
          <w:rFonts w:ascii="微软雅黑" w:hAnsi="微软雅黑" w:eastAsia="微软雅黑"/>
        </w:rPr>
        <w:t>启动检查</w:t>
      </w:r>
    </w:p>
    <w:p w14:paraId="2B1FC465">
      <w:pPr>
        <w:pStyle w:val="16"/>
        <w:spacing w:after="60"/>
      </w:pPr>
      <w:r>
        <w:rPr>
          <w:rFonts w:ascii="微软雅黑" w:hAnsi="微软雅黑" w:eastAsia="微软雅黑"/>
        </w:rPr>
        <w:t>数据库、Redis 和 guacd 依赖容器处于运行状态。</w:t>
      </w:r>
    </w:p>
    <w:p w14:paraId="3D2F637B">
      <w:pPr>
        <w:pStyle w:val="16"/>
        <w:spacing w:after="60"/>
      </w:pPr>
      <w:r>
        <w:rPr>
          <w:rFonts w:ascii="微软雅黑" w:hAnsi="微软雅黑" w:eastAsia="微软雅黑"/>
        </w:rPr>
        <w:t>主站可以读取数据库，前端首页可打开。</w:t>
      </w:r>
    </w:p>
    <w:p w14:paraId="62AECA2F">
      <w:pPr>
        <w:pStyle w:val="16"/>
        <w:spacing w:after="60"/>
      </w:pPr>
      <w:r>
        <w:rPr>
          <w:rFonts w:ascii="微软雅黑" w:hAnsi="微软雅黑" w:eastAsia="微软雅黑"/>
        </w:rPr>
        <w:t>至少一个 Docker 节点在线；使用 VM 资产时还需要 KVM/libvirt 节点。</w:t>
      </w:r>
    </w:p>
    <w:p w14:paraId="51212BC0">
      <w:pPr>
        <w:pStyle w:val="16"/>
        <w:spacing w:after="60"/>
      </w:pPr>
      <w:r>
        <w:rPr>
          <w:rFonts w:ascii="微软雅黑" w:hAnsi="微软雅黑" w:eastAsia="微软雅黑"/>
        </w:rPr>
        <w:t>使用现场连接器时，目标节点与专用网卡必须先完成登记。</w:t>
      </w:r>
    </w:p>
    <w:p w14:paraId="7DBA69E9">
      <w:pPr>
        <w:pStyle w:val="3"/>
      </w:pPr>
      <w:r>
        <w:rPr>
          <w:rFonts w:ascii="微软雅黑" w:hAnsi="微软雅黑" w:eastAsia="微软雅黑"/>
        </w:rPr>
        <w:t>登录管理端</w:t>
      </w:r>
    </w:p>
    <w:p w14:paraId="0803C044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打开平台首页，进入登录页面。</w:t>
      </w:r>
    </w:p>
    <w:p w14:paraId="18C234DB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输入管理员账号和密码，点击 登录。</w:t>
      </w:r>
    </w:p>
    <w:p w14:paraId="3F1758EE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登录后确认右上角显示管理员身份，再从左侧进入 组网场景。</w:t>
      </w:r>
    </w:p>
    <w:p w14:paraId="67EE9439">
      <w:pPr>
        <w:keepNext/>
        <w:spacing w:before="80" w:after="60"/>
        <w:jc w:val="center"/>
      </w:pPr>
      <w:r>
        <w:drawing>
          <wp:inline distT="0" distB="0" distL="114300" distR="114300">
            <wp:extent cx="6080760" cy="380047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23A7">
      <w:pPr>
        <w:pStyle w:val="15"/>
        <w:keepNext w:val="0"/>
      </w:pPr>
      <w:r>
        <w:t>图 1  登录入口。</w:t>
      </w:r>
    </w:p>
    <w:p w14:paraId="2B9F2E4D">
      <w:r>
        <w:rPr>
          <w:rFonts w:ascii="微软雅黑" w:hAnsi="微软雅黑" w:eastAsia="微软雅黑"/>
          <w:b/>
        </w:rPr>
        <w:t>结果判断：</w:t>
      </w:r>
      <w:r>
        <w:rPr>
          <w:rFonts w:ascii="微软雅黑" w:hAnsi="微软雅黑" w:eastAsia="微软雅黑"/>
        </w:rPr>
        <w:t>登录成功后进入平台首页；无管理权限时不会显示 TeamLab 管理入口。连续失败时先核对主站是否可访问，再检查账号状态，不要在浏览器控制台保存密码。</w:t>
      </w:r>
    </w:p>
    <w:p w14:paraId="75C87DDD">
      <w:pPr>
        <w:pStyle w:val="3"/>
      </w:pPr>
      <w:r>
        <w:rPr>
          <w:rFonts w:ascii="微软雅黑" w:hAnsi="微软雅黑" w:eastAsia="微软雅黑"/>
        </w:rPr>
        <w:t>场景库与运行入口</w:t>
      </w:r>
    </w:p>
    <w:p w14:paraId="01AFFE27">
      <w:r>
        <w:rPr>
          <w:rFonts w:ascii="微软雅黑" w:hAnsi="微软雅黑" w:eastAsia="微软雅黑"/>
        </w:rPr>
        <w:t>组网场景库把设计、发布和运行入口放在同一工作区。顶部的 场景库、运行实例、远程会话 分别面向设计、运行检索和会话治理；左侧 组网资源 用于准备设备包与连接器。</w:t>
      </w:r>
    </w:p>
    <w:p w14:paraId="26BA9B79">
      <w:pPr>
        <w:keepNext/>
        <w:spacing w:before="80" w:after="60"/>
        <w:jc w:val="center"/>
      </w:pPr>
      <w:r>
        <w:drawing>
          <wp:inline distT="0" distB="0" distL="114300" distR="114300">
            <wp:extent cx="6080760" cy="380047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828B">
      <w:pPr>
        <w:pStyle w:val="15"/>
        <w:keepNext w:val="0"/>
      </w:pPr>
      <w:r>
        <w:t>图 2  场景库显示场景数量、可用版本、运行实例和资产规模。</w:t>
      </w:r>
    </w:p>
    <w:p w14:paraId="3AD3943E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使用名称、所有者和状态筛选场景。点击行或右侧进入图标打开场景设计。需要跨场景查找运行实例时，切换到 运行实例；需要结束遗留会话时，切换到 远程会话。新建场景只创建草稿。草稿必须经过服务端校验和发布后，才能用于试运行或业务绑定。</w:t>
      </w:r>
    </w:p>
    <w:p w14:paraId="460AA865">
      <w:pPr>
        <w:pStyle w:val="3"/>
      </w:pPr>
      <w:r>
        <w:rPr>
          <w:rFonts w:ascii="微软雅黑" w:hAnsi="微软雅黑" w:eastAsia="微软雅黑"/>
        </w:rPr>
        <w:t>资源准备</w:t>
      </w:r>
    </w:p>
    <w:p w14:paraId="325C77B8">
      <w:r>
        <w:rPr>
          <w:rFonts w:ascii="微软雅黑" w:hAnsi="微软雅黑" w:eastAsia="微软雅黑"/>
        </w:rPr>
        <w:t>资源准备分为三类：设备包目录、现场连接器、节点制品缓存。它们分别回答“运行什么协议设备”“接入哪块物理网卡”“目标节点是否已经具备制品”。</w:t>
      </w:r>
    </w:p>
    <w:p w14:paraId="1C72260B">
      <w:pPr>
        <w:keepNext/>
        <w:spacing w:before="80" w:after="60"/>
        <w:jc w:val="center"/>
      </w:pPr>
      <w:r>
        <w:drawing>
          <wp:inline distT="0" distB="0" distL="114300" distR="114300">
            <wp:extent cx="6080760" cy="380047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77F3">
      <w:pPr>
        <w:pStyle w:val="15"/>
        <w:keepNext w:val="0"/>
      </w:pPr>
      <w:r>
        <w:t>图 3  组网资源页。设备包、连接器和节点缓存</w:t>
      </w:r>
    </w:p>
    <w:p w14:paraId="06A17ECA">
      <w:pPr>
        <w:pStyle w:val="4"/>
      </w:pPr>
      <w:r>
        <w:rPr>
          <w:rFonts w:ascii="微软雅黑" w:hAnsi="微软雅黑" w:eastAsia="微软雅黑"/>
        </w:rPr>
        <w:t>设备包</w:t>
      </w:r>
    </w:p>
    <w:p w14:paraId="7AD0C7FD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打开 设备包目录，点击 登记设备包。填写显示名、版本、OCI 或 VM 制品引用、资源需求、端口和参数 Schema。需要健康与协议计数时，配置 HTTP 健康声明和协议事件类型，再启用设备包。</w:t>
      </w:r>
    </w:p>
    <w:p w14:paraId="6BA432A4">
      <w:r>
        <w:rPr>
          <w:rFonts w:ascii="微软雅黑" w:hAnsi="微软雅黑" w:eastAsia="微软雅黑"/>
        </w:rPr>
        <w:t>设备包是外部已经制作和认证的不可变制品。平台负责参数注入、部署、健康采样和协议计数汇总。当前 Modbus 模拟底座可提供真实寄存器/线圈读写与 read/write 计数；逐包证据仍应使用 PCAP。</w:t>
      </w:r>
    </w:p>
    <w:p w14:paraId="616BB26B">
      <w:pPr>
        <w:pStyle w:val="4"/>
      </w:pPr>
      <w:r>
        <w:rPr>
          <w:rFonts w:ascii="微软雅黑" w:hAnsi="微软雅黑" w:eastAsia="微软雅黑"/>
        </w:rPr>
        <w:t>现场连接器</w:t>
      </w:r>
    </w:p>
    <w:p w14:paraId="29D66CB7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切换到 现场连接器，点击登记。选择 managed-nic，指定节点、网卡接口名和 MAC 地址。确认专用网卡处于 up 状态、没有全局地址、没有默认路由，也没有被其他 bridge 或运行实例占用。登记后检查健康状态。运行实例创建时会获得独占租约，销毁时只解除 OVS 归属，不删除物理网卡。</w:t>
      </w:r>
    </w:p>
    <w:p w14:paraId="7865325F">
      <w:pPr>
        <w:pStyle w:val="4"/>
      </w:pPr>
      <w:r>
        <w:rPr>
          <w:rFonts w:ascii="微软雅黑" w:hAnsi="微软雅黑" w:eastAsia="微软雅黑"/>
        </w:rPr>
        <w:t>节点制品缓存</w:t>
      </w:r>
    </w:p>
    <w:p w14:paraId="5BB4A005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切换到 节点制品缓存，按模板查看 Ready、分发中和失败状态。Docker 模板只要求 Docker 能力；VM 模板必须落到支持 KVM/libvirt 的节点。缓存未就绪时先处理镜像分发，不要把“模板已登记”误认为“节点已可运行”。</w:t>
      </w:r>
    </w:p>
    <w:p w14:paraId="7CB24A8C">
      <w:pPr>
        <w:pStyle w:val="3"/>
      </w:pPr>
      <w:r>
        <w:rPr>
          <w:rFonts w:ascii="微软雅黑" w:hAnsi="微软雅黑" w:eastAsia="微软雅黑"/>
        </w:rPr>
        <w:t>设计组网场景</w:t>
      </w:r>
    </w:p>
    <w:p w14:paraId="6073DCB1">
      <w:r>
        <w:rPr>
          <w:rFonts w:ascii="微软雅黑" w:hAnsi="微软雅黑" w:eastAsia="微软雅黑"/>
        </w:rPr>
        <w:t>在场景详情的 设计 页签中完成网络、资产、启动依赖和观测设置。画布位置只影响显示，不改变运行网络。</w:t>
      </w:r>
    </w:p>
    <w:p w14:paraId="1C7787D1">
      <w:pPr>
        <w:keepNext/>
        <w:spacing w:before="80" w:after="60"/>
        <w:jc w:val="center"/>
      </w:pPr>
      <w:r>
        <w:drawing>
          <wp:inline distT="0" distB="0" distL="114300" distR="114300">
            <wp:extent cx="6080760" cy="380047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C029">
      <w:pPr>
        <w:pStyle w:val="15"/>
        <w:keepNext w:val="0"/>
      </w:pPr>
      <w:r>
        <w:t>图 4  混合场景画布：两个网段、两个 Docker 资产、一个 Linux VM，并启用流量元数据与按需 PCAP。</w:t>
      </w:r>
    </w:p>
    <w:p w14:paraId="7F8D6770">
      <w:pPr>
        <w:pStyle w:val="4"/>
      </w:pPr>
      <w:r>
        <w:rPr>
          <w:rFonts w:ascii="微软雅黑" w:hAnsi="微软雅黑" w:eastAsia="微软雅黑"/>
        </w:rPr>
        <w:t>创建网段与基础设施</w:t>
      </w:r>
    </w:p>
    <w:p w14:paraId="73AF23E1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从左侧工具栏添加网段或托管交换机/路由器。为每个网段填写地址池 CIDR 和运行实例前缀；地址池必须能为每个运行实例分配独立子网。只有需要选手接入的网段标记为入口网段；未连接的网段默认隔离。</w:t>
      </w:r>
    </w:p>
    <w:p w14:paraId="77EEE726">
      <w:pPr>
        <w:pStyle w:val="4"/>
      </w:pPr>
      <w:r>
        <w:rPr>
          <w:rFonts w:ascii="微软雅黑" w:hAnsi="微软雅黑" w:eastAsia="微软雅黑"/>
        </w:rPr>
        <w:t>添加资产</w:t>
      </w:r>
    </w:p>
    <w:p w14:paraId="04A23246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添加 Docker 或 VM 资产，选择已经登记的镜像模板。配置 CPU、内存、存储、网卡顺序、固定主机偏移和主网卡。每个资产只允许一个主网卡。需要外部访问时声明端口；只有确实要确认业务可用时才配置 TCP 或 HTTP 健康检查。协议设备选择设备包并填写参数；虚实结合资产选择对应现场连接器。</w:t>
      </w:r>
    </w:p>
    <w:p w14:paraId="4410AE4C">
      <w:pPr>
        <w:pStyle w:val="4"/>
      </w:pPr>
      <w:r>
        <w:rPr>
          <w:rFonts w:ascii="微软雅黑" w:hAnsi="微软雅黑" w:eastAsia="微软雅黑"/>
        </w:rPr>
        <w:t>连接与依赖</w:t>
      </w:r>
    </w:p>
    <w:p w14:paraId="42521F5B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在 网络连接 模式下连接资产与网段，或通过路由器连接多个网段。在 启动依赖 中选择 NetworkReady、GuestReady、ServiceReady 或 BootstrapCompleted。使用 一键自动排版 整理画布；它只改变节点坐标，可用撤销恢复。</w:t>
      </w:r>
    </w:p>
    <w:p w14:paraId="496FC94B">
      <w:pPr>
        <w:pStyle w:val="4"/>
      </w:pPr>
      <w:r>
        <w:rPr>
          <w:rFonts w:ascii="微软雅黑" w:hAnsi="微软雅黑" w:eastAsia="微软雅黑"/>
        </w:rPr>
        <w:t>设计检查重点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0D9D10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tblHeader/>
          <w:jc w:val="center"/>
        </w:trPr>
        <w:tc>
          <w:tcPr>
            <w:tcW w:w="1474" w:type="dxa"/>
            <w:shd w:val="clear" w:color="auto" w:fill="17231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08836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w="3515" w:type="dxa"/>
            <w:shd w:val="clear" w:color="auto" w:fill="17231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05F64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正确表现</w:t>
            </w:r>
          </w:p>
        </w:tc>
        <w:tc>
          <w:tcPr>
            <w:tcW w:w="4139" w:type="dxa"/>
            <w:shd w:val="clear" w:color="auto" w:fill="17231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EA84B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常见问题</w:t>
            </w:r>
          </w:p>
        </w:tc>
      </w:tr>
      <w:tr w14:paraId="5D631C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E77F8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地址</w:t>
            </w:r>
          </w:p>
        </w:tc>
        <w:tc>
          <w:tcPr>
            <w:tcW w:w="351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678C50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同一网段主机偏移不重复</w:t>
            </w:r>
          </w:p>
        </w:tc>
        <w:tc>
          <w:tcPr>
            <w:tcW w:w="41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A5AEA4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地址池小于运行前缀或占用保留地址</w:t>
            </w:r>
          </w:p>
        </w:tc>
      </w:tr>
      <w:tr w14:paraId="3C938C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86F99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网卡</w:t>
            </w:r>
          </w:p>
        </w:tc>
        <w:tc>
          <w:tcPr>
            <w:tcW w:w="3515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D9CC0D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主网卡唯一，顺序稳定</w:t>
            </w:r>
          </w:p>
        </w:tc>
        <w:tc>
          <w:tcPr>
            <w:tcW w:w="4139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C92A8A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多主网卡或连接到不存在的网段</w:t>
            </w:r>
          </w:p>
        </w:tc>
      </w:tr>
      <w:tr w14:paraId="309F67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ABED5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镜像</w:t>
            </w:r>
          </w:p>
        </w:tc>
        <w:tc>
          <w:tcPr>
            <w:tcW w:w="351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82591A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类型与节点能力匹配</w:t>
            </w:r>
          </w:p>
        </w:tc>
        <w:tc>
          <w:tcPr>
            <w:tcW w:w="41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52402A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VM 模板落到无 KVM 节点</w:t>
            </w:r>
          </w:p>
        </w:tc>
      </w:tr>
      <w:tr w14:paraId="500A5F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517B7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连接器</w:t>
            </w:r>
          </w:p>
        </w:tc>
        <w:tc>
          <w:tcPr>
            <w:tcW w:w="3515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AFF167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同一实例的连接器位于同一节点</w:t>
            </w:r>
          </w:p>
        </w:tc>
        <w:tc>
          <w:tcPr>
            <w:tcW w:w="4139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5BF58C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跨网段复用同一连接器或被其他实例占用</w:t>
            </w:r>
          </w:p>
        </w:tc>
      </w:tr>
      <w:tr w14:paraId="21877B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E807B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观测</w:t>
            </w:r>
          </w:p>
        </w:tc>
        <w:tc>
          <w:tcPr>
            <w:tcW w:w="351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2C841A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按需启用流量元数据和 PCAP</w:t>
            </w:r>
          </w:p>
        </w:tc>
        <w:tc>
          <w:tcPr>
            <w:tcW w:w="41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402008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把端口连通误当协议事件证据</w:t>
            </w:r>
          </w:p>
        </w:tc>
      </w:tr>
    </w:tbl>
    <w:p w14:paraId="6001F955">
      <w:pPr>
        <w:spacing w:after="20"/>
      </w:pPr>
    </w:p>
    <w:p w14:paraId="74574A07">
      <w:pPr>
        <w:pStyle w:val="3"/>
      </w:pPr>
      <w:r>
        <w:rPr>
          <w:rFonts w:ascii="微软雅黑" w:hAnsi="微软雅黑" w:eastAsia="微软雅黑"/>
        </w:rPr>
        <w:t>校验并发布版本</w:t>
      </w:r>
    </w:p>
    <w:p w14:paraId="5E04B938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确认右上角显示 已保存。点击 校验，等待服务端返回结果；按对象定位并修复所有错误。校验通过后点击 发布新版本。发布版本不可修改，后续编辑只影响草稿。进入 发布版本 页签，确认版本号、源修订、校验状态和资产规模。</w:t>
      </w:r>
    </w:p>
    <w:p w14:paraId="02B6BD1B">
      <w:pPr>
        <w:keepNext/>
        <w:spacing w:before="80" w:after="60"/>
        <w:jc w:val="center"/>
      </w:pPr>
      <w:r>
        <w:drawing>
          <wp:inline distT="0" distB="0" distL="114300" distR="114300">
            <wp:extent cx="6080760" cy="380047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916B">
      <w:pPr>
        <w:pStyle w:val="15"/>
        <w:keepNext w:val="0"/>
      </w:pPr>
      <w:r>
        <w:t>图 5  发布版本页用于查看不可变版本并创建试运行。</w:t>
      </w:r>
    </w:p>
    <w:p w14:paraId="557D3CAB">
      <w:r>
        <w:rPr>
          <w:rFonts w:ascii="微软雅黑" w:hAnsi="微软雅黑" w:eastAsia="微软雅黑"/>
        </w:rPr>
        <w:t>不要绕过校验直接部署。已发布版本与当前草稿不一致是正常状态；需要新设计时发布下一个版本，而不是修改正在被运行实例引用的版本。</w:t>
      </w:r>
    </w:p>
    <w:p w14:paraId="2214FC83">
      <w:pPr>
        <w:pStyle w:val="3"/>
      </w:pPr>
      <w:r>
        <w:rPr>
          <w:rFonts w:ascii="微软雅黑" w:hAnsi="微软雅黑" w:eastAsia="微软雅黑"/>
        </w:rPr>
        <w:t>创建试运行</w:t>
      </w:r>
    </w:p>
    <w:p w14:paraId="2DF0F3B0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在目标发布版本上点击 创建试运行。填写外部引用或备注，确认创建。进入试运行列表，观察状态、代次、阶段和资产数量。</w:t>
      </w:r>
    </w:p>
    <w:p w14:paraId="50FCC3D8">
      <w:pPr>
        <w:keepNext/>
        <w:spacing w:before="80" w:after="60"/>
        <w:jc w:val="center"/>
      </w:pPr>
      <w:r>
        <w:drawing>
          <wp:inline distT="0" distB="0" distL="114300" distR="114300">
            <wp:extent cx="6080760" cy="3800475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CC31">
      <w:pPr>
        <w:pStyle w:val="15"/>
        <w:keepNext w:val="0"/>
      </w:pPr>
      <w:r>
        <w:t>图 6  试运行列表区。</w:t>
      </w:r>
    </w:p>
    <w:p w14:paraId="72175D73">
      <w:r>
        <w:rPr>
          <w:rFonts w:ascii="微软雅黑" w:hAnsi="微软雅黑" w:eastAsia="微软雅黑"/>
        </w:rPr>
        <w:t>创建过程依次完成等待调度、规划分片、资源预留、部署资产、连通性探测和运行就绪。只有统一部署票据完成且运行实例进入 运行中，才可把环境视为已创建。</w:t>
      </w:r>
    </w:p>
    <w:p w14:paraId="61FC2B2F">
      <w:r>
        <w:rPr>
          <w:rFonts w:ascii="微软雅黑" w:hAnsi="微软雅黑" w:eastAsia="微软雅黑"/>
        </w:rPr>
        <w:t>重置会先清理当前代，再从同一发布版本创建下一代。旧代次任务不能覆盖新资源。</w:t>
      </w:r>
    </w:p>
    <w:p w14:paraId="6A83ABAE">
      <w:pPr>
        <w:pStyle w:val="3"/>
      </w:pPr>
      <w:r>
        <w:rPr>
          <w:rFonts w:ascii="微软雅黑" w:hAnsi="微软雅黑" w:eastAsia="微软雅黑"/>
        </w:rPr>
        <w:t>阅读部署概览</w:t>
      </w:r>
    </w:p>
    <w:p w14:paraId="0D6BD784">
      <w:pPr>
        <w:keepNext/>
        <w:spacing w:before="80" w:after="60"/>
        <w:jc w:val="center"/>
      </w:pPr>
      <w:r>
        <w:drawing>
          <wp:inline distT="0" distB="0" distL="114300" distR="114300">
            <wp:extent cx="6080760" cy="3800475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BF56">
      <w:pPr>
        <w:pStyle w:val="15"/>
        <w:keepNext w:val="0"/>
      </w:pPr>
      <w:r>
        <w:t>图 7  部署概览。</w:t>
      </w:r>
    </w:p>
    <w:p w14:paraId="3D46769C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先看运行任务：任务状态应为 已完成，阶段为 ready。再看运行状态和代次：运行中代表本代资源已经达到平台就绪条件。检查节点分片、网段和资产投影，核对计划地址与实际原生身份。需要选手接入时，从入口授权区域创建 WireGuard 授权；未配置公网网关时系统应明确拒绝，不会生成假入口。</w:t>
      </w:r>
    </w:p>
    <w:p w14:paraId="50F1631C">
      <w:r>
        <w:rPr>
          <w:rFonts w:ascii="微软雅黑" w:hAnsi="微软雅黑" w:eastAsia="微软雅黑"/>
        </w:rPr>
        <w:t>运行任务完成不等于来宾内所有业务都健康。业务可用性由资产健康检查、设备健康面板和现场验收共同判断。</w:t>
      </w:r>
    </w:p>
    <w:p w14:paraId="10D48414">
      <w:pPr>
        <w:pStyle w:val="3"/>
      </w:pPr>
      <w:r>
        <w:rPr>
          <w:rFonts w:ascii="微软雅黑" w:hAnsi="微软雅黑" w:eastAsia="微软雅黑"/>
        </w:rPr>
        <w:t>资产运维</w:t>
      </w:r>
    </w:p>
    <w:p w14:paraId="60D1D2D9">
      <w:r>
        <w:rPr>
          <w:rFonts w:ascii="微软雅黑" w:hAnsi="微软雅黑" w:eastAsia="微软雅黑"/>
        </w:rPr>
        <w:t>切换到 资产运维。该页按“先观察、再操作”的顺序组织：健康与差异检查在前，生命周期、诊断、文件和远程会话在后。</w:t>
      </w:r>
    </w:p>
    <w:p w14:paraId="3F983EB0">
      <w:pPr>
        <w:keepNext/>
        <w:spacing w:before="80" w:after="60"/>
        <w:jc w:val="center"/>
      </w:pPr>
      <w:r>
        <w:drawing>
          <wp:inline distT="0" distB="0" distL="114300" distR="114300">
            <wp:extent cx="6080760" cy="380047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8764">
      <w:pPr>
        <w:pStyle w:val="15"/>
        <w:keepNext w:val="0"/>
      </w:pPr>
      <w:r>
        <w:t>图 8  资产运维。</w:t>
      </w:r>
    </w:p>
    <w:p w14:paraId="24AA3672">
      <w:pPr>
        <w:pStyle w:val="4"/>
      </w:pPr>
      <w:r>
        <w:rPr>
          <w:rFonts w:ascii="微软雅黑" w:hAnsi="微软雅黑" w:eastAsia="微软雅黑"/>
        </w:rPr>
        <w:t>健康与协议事件</w:t>
      </w:r>
    </w:p>
    <w:p w14:paraId="0A8D2887">
      <w:pPr>
        <w:pStyle w:val="16"/>
        <w:spacing w:after="60"/>
      </w:pPr>
      <w:r>
        <w:rPr>
          <w:rFonts w:ascii="微软雅黑" w:hAnsi="微软雅黑" w:eastAsia="微软雅黑"/>
        </w:rPr>
        <w:t>设备健康显示最后采样时间、bootId 和已声明的协议事件计数。</w:t>
      </w:r>
    </w:p>
    <w:p w14:paraId="2C03F224">
      <w:pPr>
        <w:pStyle w:val="16"/>
        <w:spacing w:after="60"/>
      </w:pPr>
      <w:r>
        <w:rPr>
          <w:rFonts w:ascii="微软雅黑" w:hAnsi="微软雅黑" w:eastAsia="微软雅黑"/>
        </w:rPr>
        <w:t>计数为采样区间增量汇总，不保存寄存器值，也不是逐包日志。</w:t>
      </w:r>
    </w:p>
    <w:p w14:paraId="2BB5923E">
      <w:pPr>
        <w:pStyle w:val="16"/>
        <w:spacing w:after="60"/>
      </w:pPr>
      <w:r>
        <w:rPr>
          <w:rFonts w:ascii="微软雅黑" w:hAnsi="微软雅黑" w:eastAsia="微软雅黑"/>
        </w:rPr>
        <w:t>同一 bootId 下计数回退会被视为异常；进程重启后 bootId 应变化。</w:t>
      </w:r>
    </w:p>
    <w:p w14:paraId="2D4DA4C5">
      <w:pPr>
        <w:pStyle w:val="16"/>
        <w:spacing w:after="60"/>
      </w:pPr>
      <w:r>
        <w:rPr>
          <w:rFonts w:ascii="微软雅黑" w:hAnsi="微软雅黑" w:eastAsia="微软雅黑"/>
        </w:rPr>
        <w:t>VM 健康探测要求节点可以路由到来宾；VNC 控制台不依赖这条网络。</w:t>
      </w:r>
    </w:p>
    <w:p w14:paraId="14C9F6CF">
      <w:pPr>
        <w:pStyle w:val="4"/>
      </w:pPr>
      <w:r>
        <w:rPr>
          <w:rFonts w:ascii="微软雅黑" w:hAnsi="微软雅黑" w:eastAsia="微软雅黑"/>
        </w:rPr>
        <w:t>单资产生命周期</w:t>
      </w:r>
    </w:p>
    <w:p w14:paraId="44242C4F">
      <w:pPr>
        <w:pStyle w:val="16"/>
        <w:spacing w:after="60"/>
      </w:pPr>
      <w:r>
        <w:rPr>
          <w:rFonts w:ascii="微软雅黑" w:hAnsi="微软雅黑" w:eastAsia="微软雅黑"/>
        </w:rPr>
        <w:t>启动、停止、重启、重建、暂停和恢复只作用于选定资产。</w:t>
      </w:r>
    </w:p>
    <w:p w14:paraId="38987451">
      <w:pPr>
        <w:pStyle w:val="16"/>
        <w:spacing w:after="60"/>
      </w:pPr>
      <w:r>
        <w:rPr>
          <w:rFonts w:ascii="微软雅黑" w:hAnsi="微软雅黑" w:eastAsia="微软雅黑"/>
        </w:rPr>
        <w:t>停止保留可写层或 VM 磁盘；重建会替换该资产资源。</w:t>
      </w:r>
    </w:p>
    <w:p w14:paraId="6A8B2DE8">
      <w:pPr>
        <w:pStyle w:val="16"/>
        <w:spacing w:after="60"/>
      </w:pPr>
      <w:r>
        <w:rPr>
          <w:rFonts w:ascii="微软雅黑" w:hAnsi="微软雅黑" w:eastAsia="微软雅黑"/>
        </w:rPr>
        <w:t>VM 停止与重启可能强制断电，确认前应处理未保存数据。</w:t>
      </w:r>
    </w:p>
    <w:p w14:paraId="2AD14D2C">
      <w:pPr>
        <w:pStyle w:val="16"/>
        <w:spacing w:after="60"/>
      </w:pPr>
      <w:r>
        <w:rPr>
          <w:rFonts w:ascii="微软雅黑" w:hAnsi="微软雅黑" w:eastAsia="微软雅黑"/>
        </w:rPr>
        <w:t>已有任务执行时等待完成；失败且标记可重试时，从原任务继续，不重复创建同类任务。</w:t>
      </w:r>
    </w:p>
    <w:p w14:paraId="4D2773B7">
      <w:pPr>
        <w:pStyle w:val="4"/>
      </w:pPr>
      <w:r>
        <w:rPr>
          <w:rFonts w:ascii="微软雅黑" w:hAnsi="微软雅黑" w:eastAsia="微软雅黑"/>
        </w:rPr>
        <w:t>诊断与文件</w:t>
      </w:r>
    </w:p>
    <w:p w14:paraId="47B2F3FB">
      <w:pPr>
        <w:keepNext/>
        <w:spacing w:before="80" w:after="60"/>
        <w:jc w:val="center"/>
      </w:pPr>
      <w:r>
        <w:drawing>
          <wp:inline distT="0" distB="0" distL="114300" distR="114300">
            <wp:extent cx="6080760" cy="3800475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FA9F">
      <w:pPr>
        <w:pStyle w:val="15"/>
        <w:keepNext w:val="0"/>
      </w:pPr>
      <w:r>
        <w:t>图 9  资产诊断显示真实节点状态和日志；文件管理按资产与绝对路径操作。</w:t>
      </w:r>
    </w:p>
    <w:p w14:paraId="3DC3BA5E">
      <w:pPr>
        <w:pStyle w:val="16"/>
        <w:spacing w:after="60"/>
      </w:pPr>
      <w:r>
        <w:rPr>
          <w:rFonts w:ascii="微软雅黑" w:hAnsi="微软雅黑" w:eastAsia="微软雅黑"/>
        </w:rPr>
        <w:t>诊断读取当前代资产的实际状态、退出码、重启次数和有界日志。</w:t>
      </w:r>
    </w:p>
    <w:p w14:paraId="033B56A5">
      <w:pPr>
        <w:pStyle w:val="16"/>
        <w:spacing w:after="60"/>
      </w:pPr>
      <w:r>
        <w:rPr>
          <w:rFonts w:ascii="微软雅黑" w:hAnsi="微软雅黑" w:eastAsia="微软雅黑"/>
        </w:rPr>
        <w:t>容器文件管理支持读取、上传、下载和删除普通文件或空目录，不进入符号链接、特殊文件或宿主挂载。</w:t>
      </w:r>
    </w:p>
    <w:p w14:paraId="0D7A1901">
      <w:pPr>
        <w:pStyle w:val="16"/>
        <w:spacing w:after="60"/>
      </w:pPr>
      <w:r>
        <w:rPr>
          <w:rFonts w:ascii="微软雅黑" w:hAnsi="微软雅黑" w:eastAsia="微软雅黑"/>
        </w:rPr>
        <w:t>VM 文件管理使用来宾 SSH/SFTP，需要管理网络和已配置的运维账号。首次使用登记 SSH 主机身份；虚拟机重装后由有权限人员确认重新登记。</w:t>
      </w:r>
    </w:p>
    <w:p w14:paraId="586B5DD5">
      <w:pPr>
        <w:pStyle w:val="3"/>
      </w:pPr>
      <w:r>
        <w:rPr>
          <w:rFonts w:ascii="微软雅黑" w:hAnsi="微软雅黑" w:eastAsia="微软雅黑"/>
        </w:rPr>
        <w:t>远程运维与会话审计</w:t>
      </w:r>
    </w:p>
    <w:p w14:paraId="58B41E52">
      <w:r>
        <w:rPr>
          <w:rFonts w:ascii="微软雅黑" w:hAnsi="微软雅黑" w:eastAsia="微软雅黑"/>
        </w:rPr>
        <w:t>远程运维必须先选择资产、确认可用协议并填写访问原因。平台创建短期会话，</w:t>
      </w:r>
      <w:r>
        <w:rPr>
          <w:rFonts w:hint="eastAsia"/>
          <w:lang w:val="en-US" w:eastAsia="zh-CN"/>
        </w:rPr>
        <w:t>信息不暴露</w:t>
      </w:r>
      <w:r>
        <w:rPr>
          <w:rFonts w:ascii="微软雅黑" w:hAnsi="微软雅黑" w:eastAsia="微软雅黑"/>
        </w:rPr>
        <w:t>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1D1428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tblHeader/>
          <w:jc w:val="center"/>
        </w:trPr>
        <w:tc>
          <w:tcPr>
            <w:tcW w:w="1984" w:type="dxa"/>
            <w:shd w:val="clear" w:color="auto" w:fill="17231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75447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资产</w:t>
            </w:r>
          </w:p>
        </w:tc>
        <w:tc>
          <w:tcPr>
            <w:tcW w:w="2381" w:type="dxa"/>
            <w:shd w:val="clear" w:color="auto" w:fill="17231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97D47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推荐协议</w:t>
            </w:r>
          </w:p>
        </w:tc>
        <w:tc>
          <w:tcPr>
            <w:tcW w:w="4762" w:type="dxa"/>
            <w:shd w:val="clear" w:color="auto" w:fill="17231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901C6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前置条件</w:t>
            </w:r>
          </w:p>
        </w:tc>
      </w:tr>
      <w:tr w14:paraId="47101E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78B72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Docker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B5461A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网页终端</w:t>
            </w:r>
          </w:p>
        </w:tc>
        <w:tc>
          <w:tcPr>
            <w:tcW w:w="476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0BF55F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容器运行中，Agent 可建立终端代理</w:t>
            </w:r>
          </w:p>
        </w:tc>
      </w:tr>
      <w:tr w14:paraId="474602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A2774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Linux VM</w:t>
            </w:r>
          </w:p>
        </w:tc>
        <w:tc>
          <w:tcPr>
            <w:tcW w:w="2381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B2D9A5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SSH</w:t>
            </w:r>
          </w:p>
        </w:tc>
        <w:tc>
          <w:tcPr>
            <w:tcW w:w="4762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01CDFB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来宾网络可达，镜像预置 SSH 运维账号</w:t>
            </w:r>
          </w:p>
        </w:tc>
      </w:tr>
      <w:tr w14:paraId="221F06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3E416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Windows VM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05980B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RDP</w:t>
            </w:r>
          </w:p>
        </w:tc>
        <w:tc>
          <w:tcPr>
            <w:tcW w:w="476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2C9486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来宾网络可达，镜像预置 RDP 能力</w:t>
            </w:r>
          </w:p>
        </w:tc>
      </w:tr>
      <w:tr w14:paraId="23B15B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9EF39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任意支持图形控制台的 VM</w:t>
            </w:r>
          </w:p>
        </w:tc>
        <w:tc>
          <w:tcPr>
            <w:tcW w:w="2381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785E8C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VNC</w:t>
            </w:r>
          </w:p>
        </w:tc>
        <w:tc>
          <w:tcPr>
            <w:tcW w:w="4762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62D5B5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libvirt 域提供 loopback 图形控制台</w:t>
            </w:r>
          </w:p>
        </w:tc>
      </w:tr>
    </w:tbl>
    <w:p w14:paraId="3FE60ACF">
      <w:pPr>
        <w:spacing w:after="20"/>
      </w:pPr>
    </w:p>
    <w:p w14:paraId="397D51C4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在 远程访问 区域选择资产并检查协议状态。填写访问原因，创建会话；就绪后进入终端或图形控制台。使用完成后主动结束会话。运行实例重置、销毁、权限撤销或超时也会关闭会话。在远程会话或操作审计 中检查开始、结束、终止原因和关联标识。</w:t>
      </w:r>
    </w:p>
    <w:p w14:paraId="5AE79D01">
      <w:r>
        <w:rPr>
          <w:rFonts w:ascii="微软雅黑" w:hAnsi="微软雅黑" w:eastAsia="微软雅黑"/>
        </w:rPr>
        <w:t>审计证据是 JSON 生命周期文件，记录会话、运行时、资产、操作者、时间和结束结果</w:t>
      </w:r>
    </w:p>
    <w:p w14:paraId="63C1BBDC">
      <w:pPr>
        <w:pStyle w:val="3"/>
      </w:pPr>
      <w:r>
        <w:rPr>
          <w:rFonts w:ascii="微软雅黑" w:hAnsi="微软雅黑" w:eastAsia="微软雅黑"/>
        </w:rPr>
        <w:t>链路策略</w:t>
      </w:r>
    </w:p>
    <w:p w14:paraId="384C3C3A">
      <w:pPr>
        <w:keepNext/>
        <w:spacing w:before="80" w:after="60"/>
        <w:jc w:val="center"/>
      </w:pPr>
      <w:r>
        <w:drawing>
          <wp:inline distT="0" distB="0" distL="114300" distR="114300">
            <wp:extent cx="6080760" cy="3800475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A029">
      <w:pPr>
        <w:pStyle w:val="15"/>
        <w:keepNext w:val="0"/>
      </w:pPr>
      <w:r>
        <w:t>图 10  链路策略支持访问控制、NAT、限速、时延、抖动、丢包、重复和断链。</w:t>
      </w:r>
    </w:p>
    <w:p w14:paraId="12AFB34D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切换到 链路策略，选择运行网段或资产。选择策略类型并填写参数；设置自动恢复时间可以降低忘记恢复的风险。点击应用策略，确认状态为生效中。试验结束后执行恢复，并通过流量、健康或业务探测确认链路已恢复。链路策略用于运行时网络故障与访问控制。</w:t>
      </w:r>
    </w:p>
    <w:p w14:paraId="141A79B5">
      <w:pPr>
        <w:pStyle w:val="3"/>
      </w:pPr>
      <w:r>
        <w:rPr>
          <w:rFonts w:ascii="微软雅黑" w:hAnsi="微软雅黑" w:eastAsia="微软雅黑"/>
        </w:rPr>
        <w:t>事件 任务历史与日志</w:t>
      </w:r>
    </w:p>
    <w:p w14:paraId="5AE0CABF">
      <w:pPr>
        <w:keepNext/>
        <w:spacing w:before="80" w:after="60"/>
        <w:jc w:val="center"/>
      </w:pPr>
      <w:r>
        <w:drawing>
          <wp:inline distT="0" distB="0" distL="114300" distR="114300">
            <wp:extent cx="6080760" cy="3800475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2D3D">
      <w:pPr>
        <w:pStyle w:val="15"/>
        <w:keepNext w:val="0"/>
      </w:pPr>
      <w:r>
        <w:t>图 11  任务历史与运行事件</w:t>
      </w:r>
    </w:p>
    <w:p w14:paraId="524CAA09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切换到 事件与日志，先看任务历史，确认操作、代次、状态和完成时间。按代次、阶段和级别筛选运行事件。从错误事件回到对应任务或资产诊断。</w:t>
      </w:r>
    </w:p>
    <w:p w14:paraId="7C72D3FB">
      <w:r>
        <w:rPr>
          <w:rFonts w:ascii="微软雅黑" w:hAnsi="微软雅黑" w:eastAsia="微软雅黑"/>
        </w:rPr>
        <w:t>PostgreSQL 中的运行状态和统一部署票据是事实源。Redis 承担协调与缓存；运行恢复读取数据库与 Agent inventory。</w:t>
      </w:r>
    </w:p>
    <w:p w14:paraId="2BE899FA">
      <w:pPr>
        <w:pStyle w:val="3"/>
      </w:pPr>
      <w:r>
        <w:rPr>
          <w:rFonts w:ascii="微软雅黑" w:hAnsi="微软雅黑" w:eastAsia="微软雅黑"/>
        </w:rPr>
        <w:t>流量观测</w:t>
      </w:r>
    </w:p>
    <w:p w14:paraId="4C17E4A5">
      <w:pPr>
        <w:keepNext/>
        <w:spacing w:before="80" w:after="60"/>
        <w:jc w:val="center"/>
      </w:pPr>
      <w:r>
        <w:drawing>
          <wp:inline distT="0" distB="0" distL="114300" distR="114300">
            <wp:extent cx="6080760" cy="3800475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E9EF">
      <w:pPr>
        <w:pStyle w:val="15"/>
        <w:keepNext w:val="0"/>
      </w:pPr>
      <w:r>
        <w:t>图 12  流量观测支持按地址、协议、网段和路径可信度筛选。</w:t>
      </w:r>
    </w:p>
    <w:p w14:paraId="4963A1A9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切换到流量观测，先按源地址、目标地址、协议或网段过滤。查看通信流和路径，区分 PacketExact、ProcessCorrelated 与 TemporallyRelated。需要逐包证据时启动按需抓包；不要把协议计数或进程相关性描述成单包事实。流量元数据记录源/目标、端口、协议、方向、字节数、时间和观测位置。它回答“谁与谁通信”；PCAP 回答“包里具体发生了什么”。</w:t>
      </w:r>
    </w:p>
    <w:p w14:paraId="361C8EBE">
      <w:pPr>
        <w:pStyle w:val="3"/>
      </w:pPr>
      <w:r>
        <w:rPr>
          <w:rFonts w:ascii="微软雅黑" w:hAnsi="微软雅黑" w:eastAsia="微软雅黑"/>
        </w:rPr>
        <w:t>按需抓包</w:t>
      </w:r>
    </w:p>
    <w:p w14:paraId="7248F193">
      <w:pPr>
        <w:keepNext/>
        <w:spacing w:before="80" w:after="60"/>
        <w:jc w:val="center"/>
      </w:pPr>
      <w:r>
        <w:drawing>
          <wp:inline distT="0" distB="0" distL="114300" distR="114300">
            <wp:extent cx="6080760" cy="3800475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7EBB">
      <w:pPr>
        <w:pStyle w:val="15"/>
        <w:keepNext w:val="0"/>
      </w:pPr>
      <w:r>
        <w:t>图 13  抓包页。</w:t>
      </w:r>
    </w:p>
    <w:p w14:paraId="7A9A1D9A">
      <w:pPr>
        <w:pStyle w:val="14"/>
        <w:numPr>
          <w:ilvl w:val="0"/>
          <w:numId w:val="0"/>
        </w:numPr>
        <w:spacing w:after="80"/>
        <w:ind w:leftChars="0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</w:rPr>
        <w:t>选择整个运行环境、单个网段或资产观测点。设置最大时长、最大字节数和过期时间，启动抓包。生成目标流量，等待任务完成；需要提前结束时点击停止。下载 PCAP 并在受控分析环境中查看。下载动作会进入审计。抓包过期后平台会清理保留制品。失败或 CleanupPending 时先检查 Agent 回传和存储状态</w:t>
      </w:r>
      <w:r>
        <w:rPr>
          <w:rFonts w:hint="eastAsia"/>
          <w:lang w:eastAsia="zh-CN"/>
        </w:rPr>
        <w:t>。</w:t>
      </w:r>
    </w:p>
    <w:p w14:paraId="18E09C9B">
      <w:pPr>
        <w:pStyle w:val="3"/>
      </w:pPr>
      <w:r>
        <w:rPr>
          <w:rFonts w:ascii="微软雅黑" w:hAnsi="微软雅黑" w:eastAsia="微软雅黑"/>
        </w:rPr>
        <w:t>销毁与资源回收</w:t>
      </w:r>
    </w:p>
    <w:p w14:paraId="6648BD4A">
      <w:pPr>
        <w:pStyle w:val="14"/>
        <w:numPr>
          <w:ilvl w:val="0"/>
          <w:numId w:val="0"/>
        </w:numPr>
        <w:spacing w:after="80"/>
        <w:ind w:leftChars="0"/>
      </w:pPr>
      <w:r>
        <w:rPr>
          <w:rFonts w:ascii="微软雅黑" w:hAnsi="微软雅黑" w:eastAsia="微软雅黑"/>
        </w:rPr>
        <w:t>确认不再需要会话、文件传输、抓包或入口授权。在运行详情右上角点击 销毁，阅读影响并确认。观察统一任务进入销毁阶段</w:t>
      </w:r>
      <w:r>
        <w:rPr>
          <w:rFonts w:hint="eastAsia"/>
          <w:lang w:eastAsia="zh-CN"/>
        </w:rPr>
        <w:t>，</w:t>
      </w:r>
      <w:r>
        <w:rPr>
          <w:rFonts w:ascii="微软雅黑" w:hAnsi="微软雅黑" w:eastAsia="微软雅黑"/>
        </w:rPr>
        <w:t>最终状态必须为 已销毁，并确认容器、VM、临时磁盘、网络端口、连接器租约、访问授权、抓包任务和容量预留均已释放。</w:t>
      </w:r>
    </w:p>
    <w:p w14:paraId="17FC12EC">
      <w:r>
        <w:rPr>
          <w:rFonts w:ascii="微软雅黑" w:hAnsi="微软雅黑" w:eastAsia="微软雅黑"/>
        </w:rPr>
        <w:t>如果显示 CleanupPending，使用 继续清理，并根据任务诊断处理仍未回收的节点资源。</w:t>
      </w:r>
    </w:p>
    <w:p w14:paraId="6EF5C1FB">
      <w:pPr>
        <w:pStyle w:val="3"/>
      </w:pPr>
      <w:r>
        <w:rPr>
          <w:rFonts w:ascii="微软雅黑" w:hAnsi="微软雅黑" w:eastAsia="微软雅黑"/>
        </w:rPr>
        <w:t>常见问题处理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58405E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7231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5C53C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w="3515" w:type="dxa"/>
            <w:shd w:val="clear" w:color="auto" w:fill="17231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623CB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先检查</w:t>
            </w:r>
          </w:p>
        </w:tc>
        <w:tc>
          <w:tcPr>
            <w:tcW w:w="3628" w:type="dxa"/>
            <w:shd w:val="clear" w:color="auto" w:fill="17231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DCF92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 w14:paraId="0057EA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A7D67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无法发布</w:t>
            </w:r>
          </w:p>
        </w:tc>
        <w:tc>
          <w:tcPr>
            <w:tcW w:w="351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F73210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保存状态与服务端校验结果</w:t>
            </w:r>
          </w:p>
        </w:tc>
        <w:tc>
          <w:tcPr>
            <w:tcW w:w="36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F8A0C3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修复校验问题并重新校验当前修订</w:t>
            </w:r>
          </w:p>
        </w:tc>
      </w:tr>
      <w:tr w14:paraId="22797C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003B5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试运行长期等待</w:t>
            </w:r>
          </w:p>
        </w:tc>
        <w:tc>
          <w:tcPr>
            <w:tcW w:w="3515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3011DD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部署票据阶段、节点容量、镜像缓存</w:t>
            </w:r>
          </w:p>
        </w:tc>
        <w:tc>
          <w:tcPr>
            <w:tcW w:w="3628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517D93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处理阻塞原因；可重试失败从原任务继续</w:t>
            </w:r>
          </w:p>
        </w:tc>
      </w:tr>
      <w:tr w14:paraId="7BB293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6779A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VM 未启动</w:t>
            </w:r>
          </w:p>
        </w:tc>
        <w:tc>
          <w:tcPr>
            <w:tcW w:w="351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A1ED94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KVM 能力、模板分发、libvirt 原生身份</w:t>
            </w:r>
          </w:p>
        </w:tc>
        <w:tc>
          <w:tcPr>
            <w:tcW w:w="36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F540BD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不要用 Docker 节点状态代替 VM 检查</w:t>
            </w:r>
          </w:p>
        </w:tc>
      </w:tr>
      <w:tr w14:paraId="22AA54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3DA6A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现场连接器不可用</w:t>
            </w:r>
          </w:p>
        </w:tc>
        <w:tc>
          <w:tcPr>
            <w:tcW w:w="3515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1C1269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节点、接口名、MAC、地址与 bridge 归属</w:t>
            </w:r>
          </w:p>
        </w:tc>
        <w:tc>
          <w:tcPr>
            <w:tcW w:w="3628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4604C8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释放冲突租约或修正专用网卡配置</w:t>
            </w:r>
          </w:p>
        </w:tc>
      </w:tr>
      <w:tr w14:paraId="76814D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963BB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健康无协议计数</w:t>
            </w:r>
          </w:p>
        </w:tc>
        <w:tc>
          <w:tcPr>
            <w:tcW w:w="351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EF2CA2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设备包健康声明、事件类型、bootId</w:t>
            </w:r>
          </w:p>
        </w:tc>
        <w:tc>
          <w:tcPr>
            <w:tcW w:w="36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A0876C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确认 HTTP 健康端点返回声明的 counters</w:t>
            </w:r>
          </w:p>
        </w:tc>
      </w:tr>
      <w:tr w14:paraId="5C5A12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B24B8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SSH/SFTP 失败</w:t>
            </w:r>
          </w:p>
        </w:tc>
        <w:tc>
          <w:tcPr>
            <w:tcW w:w="3515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EC3A96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来宾地址、SSH 服务、主机身份</w:t>
            </w:r>
          </w:p>
        </w:tc>
        <w:tc>
          <w:tcPr>
            <w:tcW w:w="3628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56B41D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确认管理网络；重装后按流程重新登记身份</w:t>
            </w:r>
          </w:p>
        </w:tc>
      </w:tr>
      <w:tr w14:paraId="450AD8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92D34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VNC 失败</w:t>
            </w:r>
          </w:p>
        </w:tc>
        <w:tc>
          <w:tcPr>
            <w:tcW w:w="351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D3F311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libvirt 域 UUID、代次、图形监听</w:t>
            </w:r>
          </w:p>
        </w:tc>
        <w:tc>
          <w:tcPr>
            <w:tcW w:w="36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914CE5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VNC 不依赖来宾网络，优先检查域与 Guacamole 链路</w:t>
            </w:r>
          </w:p>
        </w:tc>
      </w:tr>
      <w:tr w14:paraId="73CEA4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37BE4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抓包为空</w:t>
            </w:r>
          </w:p>
        </w:tc>
        <w:tc>
          <w:tcPr>
            <w:tcW w:w="3515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855240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观测点、范围、任务状态、是否产生流量</w:t>
            </w:r>
          </w:p>
        </w:tc>
        <w:tc>
          <w:tcPr>
            <w:tcW w:w="3628" w:type="dxa"/>
            <w:shd w:val="clear" w:color="auto" w:fill="F5F8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B3665B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重新选择真实观测点并在有效窗口内产生流量</w:t>
            </w:r>
          </w:p>
        </w:tc>
      </w:tr>
      <w:tr w14:paraId="0F3CA6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3F3AD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销毁未完成</w:t>
            </w:r>
          </w:p>
        </w:tc>
        <w:tc>
          <w:tcPr>
            <w:tcW w:w="351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301166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CleanupPending 诊断和节点 inventory</w:t>
            </w:r>
          </w:p>
        </w:tc>
        <w:tc>
          <w:tcPr>
            <w:tcW w:w="36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1888B9">
            <w:pPr>
              <w:spacing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继续清理，保留失败事实直至对账完成</w:t>
            </w:r>
          </w:p>
        </w:tc>
      </w:tr>
    </w:tbl>
    <w:p w14:paraId="74B336FB">
      <w:pPr>
        <w:spacing w:after="20"/>
      </w:pPr>
    </w:p>
    <w:p w14:paraId="3A20CC03">
      <w:pPr>
        <w:spacing w:after="20"/>
      </w:pPr>
    </w:p>
    <w:sectPr>
      <w:headerReference r:id="rId5" w:type="default"/>
      <w:footerReference r:id="rId6" w:type="default"/>
      <w:pgSz w:w="12240" w:h="15840"/>
      <w:pgMar w:top="1020" w:right="1077" w:bottom="964" w:left="107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3D0B7">
    <w:pPr>
      <w:pStyle w:val="24"/>
      <w:jc w:val="right"/>
    </w:pPr>
    <w:r>
      <w:rPr>
        <w:rFonts w:ascii="微软雅黑" w:hAnsi="微软雅黑" w:eastAsia="微软雅黑"/>
        <w:color w:val="64716C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color w:val="64716C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5E391">
    <w:r>
      <w:rPr>
        <w:color w:val="64716C"/>
        <w:sz w:val="17"/>
      </w:rPr>
      <w:t>YINYU TeamLab 图形化操作手册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E80FB5"/>
    <w:rsid w:val="2C714E0E"/>
    <w:rsid w:val="379636A5"/>
    <w:rsid w:val="48E1385A"/>
    <w:rsid w:val="6D374CDD"/>
    <w:rsid w:val="71D23226"/>
    <w:rsid w:val="7A85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24" w:lineRule="auto"/>
    </w:pPr>
    <w:rPr>
      <w:rFonts w:ascii="微软雅黑" w:hAnsi="微软雅黑" w:eastAsia="微软雅黑" w:cstheme="minorBidi"/>
      <w:color w:val="17231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200" w:line="240" w:lineRule="auto"/>
      <w:jc w:val="center"/>
    </w:pPr>
    <w:rPr>
      <w:rFonts w:ascii="微软雅黑" w:hAnsi="微软雅黑" w:eastAsia="微软雅黑"/>
      <w:b/>
      <w:bCs/>
      <w:color w:val="64716C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4317</Words>
  <Characters>4982</Characters>
  <Lines>0</Lines>
  <Paragraphs>0</Paragraphs>
  <TotalTime>11</TotalTime>
  <ScaleCrop>false</ScaleCrop>
  <LinksUpToDate>false</LinksUpToDate>
  <CharactersWithSpaces>5212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YINYU 项目组</dc:creator>
  <dc:description>generated by python-docx</dc:description>
  <cp:keywords>YINYU, TeamLab, 组网, 操作手册</cp:keywords>
  <cp:lastModifiedBy>余昊睿</cp:lastModifiedBy>
  <dcterms:modified xsi:type="dcterms:W3CDTF">2026-09-09T00:59:53Z</dcterms:modified>
  <dc:subject>TeamLab 场景设计、发布、运行、运维、观测与回收</dc:subject>
  <dc:title>YINYU TeamLab 组网图形化操作手册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eyJoZGlkIjoiNDE2NjRiZWJjNjg2ZjAzYzJmOGRmY2MxMDFlNWQwM2EiLCJ1c2VySWQiOiIxNzU2MDk5Nzk1In0=</vt:lpwstr>
  </property>
  <property fmtid="{D5CDD505-2E9C-101B-9397-08002B2CF9AE}" pid="3" name="KSOProductBuildVer">
    <vt:lpwstr>2052-12.1.0.28505</vt:lpwstr>
  </property>
  <property fmtid="{D5CDD505-2E9C-101B-9397-08002B2CF9AE}" pid="4" name="ICV">
    <vt:lpwstr>8480750B7C0B40B693DA985CB2A4B429_12</vt:lpwstr>
  </property>
</Properties>
</file>