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联赛第一阶段最小实现与分工</w:t>
      </w:r>
    </w:p>
    <w:p>
      <w:r>
        <w:t>2026 年 9 月 20 日更新</w:t>
      </w:r>
    </w:p>
    <w:p>
      <w:r>
        <w:t>第一阶段完成一场双队比赛的基本流程：选手进入模块、报名，管理员配置并启动比赛，选手取得对方核心 Flag 后提交，平台校验并判定 KO。金币提供加减、余额和流水。目标仍为 9 月 30 日左右跑通。</w:t>
      </w:r>
    </w:p>
    <w:p>
      <w:r>
        <w:t>这次调整已由 lxy 与负责人商讨后提出，替代此前首期必须完成 Checker 自动 KO、服务得分及经营结算的安排。lxy 已确认管理员审核两队并手动开赛、服务端首笔有效终局判胜，以及受限业务账号与防守配置范围。本文据此安排开发和验收。</w:t>
      </w:r>
    </w:p>
    <w:p>
      <w:pPr>
        <w:pStyle w:val="Heading1"/>
      </w:pPr>
      <w:r>
        <w:t>1 首期交付范围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6917"/>
      </w:tblGrid>
      <w:tr>
        <w:trPr>
          <w:cantSplit/>
          <w:tblHeader/>
        </w:trPr>
        <w:tc>
          <w:tcPr>
            <w:tcW w:type="dxa" w:w="2381"/>
            <w:vAlign w:val="center"/>
            <w:shd w:fill="E8EFF5"/>
          </w:tcPr>
          <w:p>
            <w:pPr>
              <w:pStyle w:val="RoadmapTableHeader"/>
            </w:pPr>
            <w:r>
              <w:t>功能</w:t>
            </w:r>
          </w:p>
        </w:tc>
        <w:tc>
          <w:tcPr>
            <w:tcW w:type="dxa" w:w="6917"/>
            <w:vAlign w:val="center"/>
            <w:shd w:fill="E8EFF5"/>
          </w:tcPr>
          <w:p>
            <w:pPr>
              <w:pStyle w:val="RoadmapTableHeader"/>
            </w:pPr>
            <w:r>
              <w:t>首期完成到什么程度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进入模块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vNext 导航提供联赛入口，可查看场次列表和详情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报名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使用现有账号和战队，提交报名、查看审核结果；管理员选定两支参赛队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配置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配置场次名称、场景版本、两队席位和初始金币，查看准备状态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启动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准备双方环境，确认就绪后统一开赛，展示真实访问入口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KO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提交本场对方核心 Flag，后端校验成功后保存胜负、时间和提交编号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金币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管理员加减金币，选手查看本队余额和流水；每笔操作有原因和操作者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结束处理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展示并保留结果，关闭访问、回收环境；管理员可处理准备失败和中止场次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商店建议首期后置。管理员扣减金币已经能够测试扣费。如果需要演示购买，可在主流程通过后增加一个“测试扣费”商品，只记录扣款结果。</w:t>
      </w:r>
    </w:p>
    <w:p>
      <w:r>
        <w:t>Checker 业务验证、服务产币、金币判胜、完整商店和剧情阶段安排在后续版本。双港故事可以保留为场景说明，先提供一条经过测试的取 Flag 路线。3D 延续后续阶段安排，AI 仍是独立模块。</w:t>
      </w:r>
    </w:p>
    <w:p>
      <w:pPr>
        <w:pStyle w:val="Heading2"/>
      </w:pPr>
      <w:r>
        <w:t>最小使用流程</w:t>
      </w:r>
    </w:p>
    <w:p>
      <w:r>
        <w:t>管理员创建场次并开放报名；参赛成员用现有战队报名，管理员审核并确定两队。准备环境时保存参赛名单和配置快照。两队环境就绪后，管理员点击开赛；选手查看入口、攻击对方核心、提交 Flag，页面显示 KO 结果。</w:t>
      </w:r>
    </w:p>
    <w:p>
      <w:r>
        <w:t>首期采用人工审核、单场双队、管理员手动开赛。结束方式包括有效 Flag 触发 KO，以及管理员填写原因中止场次；中止记录为无胜者。赛时长、自动到时结算和赛中暂停可随以后确定的赛规加入。</w:t>
      </w:r>
    </w:p>
    <w:p>
      <w:pPr>
        <w:pStyle w:val="Heading1"/>
        <w:pageBreakBefore/>
      </w:pPr>
      <w:r>
        <w:t>2 核心 Flag 和金币的最小规则</w:t>
      </w:r>
    </w:p>
    <w:p>
      <w:pPr>
        <w:pStyle w:val="Heading2"/>
      </w:pPr>
      <w:r>
        <w:t>核心 Flag</w:t>
      </w:r>
    </w:p>
    <w:p>
      <w:r>
        <w:t>每队预置一套核心环境，平台按场次、目标队、核心和运行代次生成独立 Flag。开赛前完成安全注入和读取验证；正常判题只需校验提交值及其归属。首期使用单场固定值，下一场或环境重建时更换。</w:t>
      </w:r>
    </w:p>
    <w:p>
      <w:r>
        <w:t>提交方身份从登录和报名关系确定，目标固定为本场对手。后端校验场次正在进行、参赛资格有效、Flag 对应当前对方核心，随后在同一数据库事务中保存有效提交和 KO 结果。自身、其他场次和旧代次 Flag 均按无效提交处理。</w:t>
      </w:r>
    </w:p>
    <w:p>
      <w:r>
        <w:t>采用已确认的“最先在服务器完成有效判定并成功写入终局的队伍获胜”规则。以数据库事务先后为准，客户端时间与页面提示时间只用于展示。另一队的并发请求返回已结束结果；同一请求重试返回原处理结果。首期验收提前公布这一规则。</w:t>
      </w:r>
    </w:p>
    <w:p>
      <w:r>
        <w:t>Flag 校验记录与赛果分别保存。记录至少包含场次、攻击队、目标队、核心、运行代次、提交人、判定方式、结果和服务器时间。判定方式先支持核心 Flag，后续 Checker 可以提供另一种依据，再调用相同的终局用例。</w:t>
      </w:r>
    </w:p>
    <w:p>
      <w:r>
        <w:t>Flag 明文通过受保护的注入通道进入核心，校验信息保存在服务端。管理列表、玩家接口、日志、文档和提交快照均只展示必要的脱敏信息。比赛期间核心保持当前代次；故障需要重建时，首期先中止原场次，再新建场次开赛。</w:t>
      </w:r>
    </w:p>
    <w:p>
      <w:pPr>
        <w:pStyle w:val="Heading2"/>
      </w:pPr>
      <w:r>
        <w:t>场景权限</w:t>
      </w:r>
    </w:p>
    <w:p>
      <w:r>
        <w:t>首期只开放经过测试的业务账号与少量配置权限，平台管理入口和核心 Flag 的覆盖、删除权限由主办方保留。采用固定靶机权限模型，先验证一条双向攻击路线。</w:t>
      </w:r>
    </w:p>
    <w:p>
      <w:r>
        <w:t>如果直接给防守方整机最高权限，停服务或封掉所有入口就可能使对手无法取 Flag。扩大到自由修补和任意防守操作时，需要同时补充业务可用性约束；只读挂载 Flag 本身无法解决停服问题。yhr 与出题人需在场景样例中明确并验证可操作范围。</w:t>
      </w:r>
    </w:p>
    <w:p>
      <w:pPr>
        <w:pStyle w:val="Heading2"/>
      </w:pPr>
      <w:r>
        <w:t>金币</w:t>
      </w:r>
    </w:p>
    <w:p>
      <w:r>
        <w:t>建议金币使用非负整数，每个场次内每队一个账户；初始金币作为一笔发放流水保存。管理员输入加减金额和原因，系统原子更新余额并保存流水。余额不足、越权和超出数值范围时返回明确结果，重试与并发请求按业务编号去重。</w:t>
      </w:r>
    </w:p>
    <w:p>
      <w:r>
        <w:t>金额在后端校验。首期只允许管理员调用调整接口，选手读取本队余额和流水。赛果与余额独立，结束后账户转为只读；确有账务错误时追加有审计的更正记录。测试商品如启用，使用后台固定价格，并与扣款记录在同一事务保存，重复购买请求只扣一次。</w:t>
      </w:r>
    </w:p>
    <w:p>
      <w:pPr>
        <w:pStyle w:val="Heading1"/>
        <w:pageBreakBefore/>
      </w:pPr>
      <w:r>
        <w:t>3 模块框架和四人分工</w:t>
      </w:r>
    </w:p>
    <w:p>
      <w:r>
        <w:t>沿用主站模块化单体和现有运行底座。建议在 League 下按场次、判定、金币、运行接入划分职责，前端使用独立 feature。首期实现真实流程所需的接口和状态，后续按新玩法扩展。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020"/>
        <w:gridCol w:w="4535"/>
        <w:gridCol w:w="3742"/>
      </w:tblGrid>
      <w:tr>
        <w:trPr>
          <w:cantSplit/>
          <w:tblHeader/>
        </w:trPr>
        <w:tc>
          <w:tcPr>
            <w:tcW w:type="dxa" w:w="1020"/>
            <w:vAlign w:val="center"/>
            <w:shd w:fill="E8EFF5"/>
          </w:tcPr>
          <w:p>
            <w:pPr>
              <w:pStyle w:val="RoadmapTableHeader"/>
            </w:pPr>
            <w:r>
              <w:t>负责人</w:t>
            </w:r>
          </w:p>
        </w:tc>
        <w:tc>
          <w:tcPr>
            <w:tcW w:type="dxa" w:w="4535"/>
            <w:vAlign w:val="center"/>
            <w:shd w:fill="E8EFF5"/>
          </w:tcPr>
          <w:p>
            <w:pPr>
              <w:pStyle w:val="RoadmapTableHeader"/>
            </w:pPr>
            <w:r>
              <w:t>首期交付</w:t>
            </w:r>
          </w:p>
        </w:tc>
        <w:tc>
          <w:tcPr>
            <w:tcW w:type="dxa" w:w="3742"/>
            <w:vAlign w:val="center"/>
            <w:shd w:fill="E8EFF5"/>
          </w:tcPr>
          <w:p>
            <w:pPr>
              <w:pStyle w:val="RoadmapTableHeader"/>
            </w:pPr>
            <w:r>
              <w:t>审查与接收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RoadmapTable"/>
            </w:pPr>
            <w:r>
              <w:t>lxy</w:t>
            </w:r>
          </w:p>
        </w:tc>
        <w:tc>
          <w:tcPr>
            <w:tcW w:type="dxa" w:w="4535"/>
            <w:vAlign w:val="center"/>
          </w:tcPr>
          <w:p>
            <w:pPr>
              <w:pStyle w:val="RoadmapTable"/>
            </w:pPr>
            <w:r>
              <w:t>模块契约、报名与配置、场次状态、启动和结束用例；协调迁移与 PR 顺序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lmr 审查；lcx、yhr、lmr 接收场次契约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RoadmapTable"/>
            </w:pPr>
            <w:r>
              <w:t>yhr</w:t>
            </w:r>
          </w:p>
        </w:tc>
        <w:tc>
          <w:tcPr>
            <w:tcW w:type="dxa" w:w="4535"/>
            <w:vAlign w:val="center"/>
          </w:tcPr>
          <w:p>
            <w:pPr>
              <w:pStyle w:val="RoadmapTable"/>
            </w:pPr>
            <w:r>
              <w:t>双队场景接入、真实入口与网络隔离、Flag 注入、环境就绪查询和清理恢复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lxy 主审；Flag 生命周期由 lmr 会审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RoadmapTable"/>
            </w:pPr>
            <w:r>
              <w:t>lcx</w:t>
            </w:r>
          </w:p>
        </w:tc>
        <w:tc>
          <w:tcPr>
            <w:tcW w:type="dxa" w:w="4535"/>
            <w:vAlign w:val="center"/>
          </w:tcPr>
          <w:p>
            <w:pPr>
              <w:pStyle w:val="RoadmapTable"/>
            </w:pPr>
            <w:r>
              <w:t>联赛列表、报名详情、管理配置、比赛操作和结果页面；金币管理与查询界面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lxy 审查页面，lmr 审查判定及金额调用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RoadmapTable"/>
            </w:pPr>
            <w:r>
              <w:t>lmr</w:t>
            </w:r>
          </w:p>
        </w:tc>
        <w:tc>
          <w:tcPr>
            <w:tcW w:type="dxa" w:w="4535"/>
            <w:vAlign w:val="center"/>
          </w:tcPr>
          <w:p>
            <w:pPr>
              <w:pStyle w:val="RoadmapTable"/>
            </w:pPr>
            <w:r>
              <w:t>Flag 生成与校验规则、提交记录、金币账户与流水、并发与重复请求处理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lxy 审查；yhr 接收注入约定，lcx 接收接口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RoadmapTable"/>
            </w:pPr>
            <w:r>
              <w:t>出题人</w:t>
            </w:r>
          </w:p>
        </w:tc>
        <w:tc>
          <w:tcPr>
            <w:tcW w:type="dxa" w:w="4535"/>
            <w:vAlign w:val="center"/>
          </w:tcPr>
          <w:p>
            <w:pPr>
              <w:pStyle w:val="RoadmapTable"/>
            </w:pPr>
            <w:r>
              <w:t>固定镜像、取 Flag 路线、注入位置、允许的操作和成功与失败样例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yhr 对接；lxy 签收场景，lmr 核对 Flag 规则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lxy 统一拥有场次状态和最终赛果写入用例；lmr 的判定用例校验 Flag 后调用它，二者参与同一本地事务。lmr 独立维护金币写入入口。yhr 保存或查询运行绑定，运行状态继续以 TeamLab 和统一队列的真实记录为准。前端展示后端结果。</w:t>
      </w:r>
    </w:p>
    <w:p>
      <w:pPr>
        <w:pStyle w:val="Heading2"/>
      </w:pPr>
      <w:r>
        <w:t>先约定这些接口</w:t>
      </w:r>
    </w:p>
    <w:p>
      <w:pPr>
        <w:ind w:left="255" w:hanging="255"/>
      </w:pPr>
      <w:r>
        <w:t>1. 场次：创建和修改草稿、报名和审核、确定两队、准备、开赛、中止、查询结果。</w:t>
      </w:r>
    </w:p>
    <w:p>
      <w:pPr>
        <w:ind w:left="255" w:hanging="255"/>
      </w:pPr>
      <w:r>
        <w:t>2. 运行：按场景版本准备双队环境、查询就绪与访问状态、关闭访问、销毁和重试查询。</w:t>
      </w:r>
    </w:p>
    <w:p>
      <w:pPr>
        <w:ind w:left="255" w:hanging="255"/>
      </w:pPr>
      <w:r>
        <w:t>3. 判定：生成并交付注入材料、提交核心 Flag、查询本人提交结果；终局写入由场次用例执行。</w:t>
      </w:r>
    </w:p>
    <w:p>
      <w:pPr>
        <w:ind w:left="255" w:hanging="255"/>
      </w:pPr>
      <w:r>
        <w:t>4. 金币：初始发放、管理员调整、查询余额和流水；测试商品按需调用同一扣费入口。</w:t>
      </w:r>
    </w:p>
    <w:p>
      <w:r>
        <w:t>这些是待开发的用例名称，具体 HTTP 路径和 DTO 在首笔契约 PR 中统一。接口明确身份、权限、状态条件、版本、重复请求及错误含义。部署和销毁继续使用 DeploymentQueueTicket；业务记录放在 PostgreSQL，异步恢复复用现有 operation 能力。</w:t>
      </w:r>
    </w:p>
    <w:p>
      <w:r>
        <w:t>联赛报名与现有 Game/Participation 的接入方式在契约 PR 中选定：优先复用现有赛事报名事实，通过公开 Application 接口增加双队选择和名单冻结。若现有公开接口不足，在所属模块补充，避免同时维护两套报名名单。</w:t>
      </w:r>
    </w:p>
    <w:p>
      <w:pPr>
        <w:pStyle w:val="Heading1"/>
        <w:pageBreakBefore/>
      </w:pPr>
      <w:r>
        <w:t>4 状态与失败处理</w:t>
      </w:r>
    </w:p>
    <w:p>
      <w:r>
        <w:t>玩家流程保持简单，后台区分草稿、报名中、准备中、待开赛、进行中、已结束和已中止。准备中的失败作为可查询的准备结果保存，修复后重试原操作，或中止场次。</w:t>
      </w:r>
    </w:p>
    <w:p>
      <w:r>
        <w:t>只有两队环境、Flag 注入和所需网络入口都确认就绪，才能进入待开赛。比赛开始时统一生效参赛权限与攻防访问。环境提前准备期间，选手入口和攻击通路保持关闭；TeamLab 的玩家访问开关与跨队攻击网络需要分别验证。</w:t>
      </w:r>
    </w:p>
    <w:p>
      <w:r>
        <w:t>准备开始后使用固定配置和参赛名单。首期通过中止、清理和创建新场次处理名单或场景变更，减少在同一场次中切换环境的复杂度。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6917"/>
      </w:tblGrid>
      <w:tr>
        <w:trPr>
          <w:cantSplit/>
          <w:tblHeader/>
        </w:trPr>
        <w:tc>
          <w:tcPr>
            <w:tcW w:type="dxa" w:w="2381"/>
            <w:vAlign w:val="center"/>
            <w:shd w:fill="E8EFF5"/>
          </w:tcPr>
          <w:p>
            <w:pPr>
              <w:pStyle w:val="RoadmapTableHeader"/>
            </w:pPr>
            <w:r>
              <w:t>情况</w:t>
            </w:r>
          </w:p>
        </w:tc>
        <w:tc>
          <w:tcPr>
            <w:tcW w:type="dxa" w:w="6917"/>
            <w:vAlign w:val="center"/>
            <w:shd w:fill="E8EFF5"/>
          </w:tcPr>
          <w:p>
            <w:pPr>
              <w:pStyle w:val="RoadmapTableHeader"/>
            </w:pPr>
            <w:r>
              <w:t>首期处理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只有一队部署成功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保持准备状态，展示失败原因；重试复用原操作标识，已建资源可清理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连续点击准备或开赛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返回已有处理结果，保持一套有效环境和一个开赛时间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双方同时提交有效 Flag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数据库原子终局只确认一个胜者，另一请求返回已有结果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管理员中止与 Flag 提交并发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使用相同的场次终局约束，保留先成功提交的终局及原因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请求超时或主站重启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查询数据库及运行记录恢复操作，返回已保存的提交、余额与赛果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已 KO 但关闭访问或销毁失败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保留赛果，清理显示待重试；后台可继续处理并核对残留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赛果和资源清理各自有状态。终局事务一并保存需要关闭访问和清理的持久化意图，执行失败可以重试。页面刷新、服务重启或清理完成都沿用原赛果。</w:t>
      </w:r>
    </w:p>
    <w:p>
      <w:r>
        <w:t>后续扩展保留四处边界：场景以版本绑定到场次；判定记录带判定方式和证据引用；金币只从统一账本入口变更；最终胜负只从终局用例写入。首期实现一种 Flag 判定即可，通用规则编辑器和多插件调度可在有实际需求时再设计。</w:t>
      </w:r>
    </w:p>
    <w:p>
      <w:pPr>
        <w:pStyle w:val="Heading1"/>
      </w:pPr>
      <w:r>
        <w:t>5 当前源码能够复用的部分</w:t>
      </w:r>
    </w:p>
    <w:p>
      <w:r>
        <w:t>2026 年 9 月 20 日再次 fetch 后，origin/main 仍为 f389d26c。本次为规划更新，业务尚待开发；核查了源码，未连接服务器、启动双队环境或执行迁移与部署。</w:t>
      </w:r>
    </w:p>
    <w:p>
      <w:r>
        <w:t>GameController 已有报名与审核状态逻辑；PenetrationTeamLabAdapter 已有按队部署、访问控制和销毁接入；PenetrationObjectiveService 已有 Flag 提交。其当前逻辑按提交者本队环境校验，联赛需要另行接入对方核心归属和一次性 KO。当前 vNext 导航和路由中未发现独立联赛入口。</w:t>
      </w:r>
    </w:p>
    <w:p>
      <w:r>
        <w:t>这些能力可作为实现起点，联赛报名限制、双队攻防通路、Flag 代次隔离、金币和 KO 仍需开发与联调。现有 AWDP Checker 留到后续可信业务验证阶段评估。</w:t>
      </w:r>
    </w:p>
    <w:p>
      <w:pPr>
        <w:pStyle w:val="Heading1"/>
        <w:pageBreakBefore/>
      </w:pPr>
      <w:r>
        <w:t>6 开发顺序与合并安排</w:t>
      </w:r>
    </w:p>
    <w:p>
      <w:r>
        <w:t>按四人每周约 5 天投入，9 月 21–30 日按周一至周五计有 8 个工作日，共 32 人日。以下是目标安排，9 月 22 日用真实场景接入结果复核日期。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474"/>
        <w:gridCol w:w="3969"/>
        <w:gridCol w:w="3855"/>
      </w:tblGrid>
      <w:tr>
        <w:trPr>
          <w:cantSplit/>
          <w:tblHeader/>
        </w:trPr>
        <w:tc>
          <w:tcPr>
            <w:tcW w:type="dxa" w:w="1474"/>
            <w:vAlign w:val="center"/>
            <w:shd w:fill="E8EFF5"/>
          </w:tcPr>
          <w:p>
            <w:pPr>
              <w:pStyle w:val="RoadmapTableHeader"/>
            </w:pPr>
            <w:r>
              <w:t>时间</w:t>
            </w:r>
          </w:p>
        </w:tc>
        <w:tc>
          <w:tcPr>
            <w:tcW w:type="dxa" w:w="3969"/>
            <w:vAlign w:val="center"/>
            <w:shd w:fill="E8EFF5"/>
          </w:tcPr>
          <w:p>
            <w:pPr>
              <w:pStyle w:val="RoadmapTableHeader"/>
            </w:pPr>
            <w:r>
              <w:t>交付结果</w:t>
            </w:r>
          </w:p>
        </w:tc>
        <w:tc>
          <w:tcPr>
            <w:tcW w:type="dxa" w:w="3855"/>
            <w:vAlign w:val="center"/>
            <w:shd w:fill="E8EFF5"/>
          </w:tcPr>
          <w:p>
            <w:pPr>
              <w:pStyle w:val="RoadmapTableHeader"/>
            </w:pPr>
            <w:r>
              <w:t>责任和并行安排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oadmapTable"/>
            </w:pPr>
            <w:r>
              <w:t>9 月 21 日</w:t>
            </w:r>
          </w:p>
        </w:tc>
        <w:tc>
          <w:tcPr>
            <w:tcW w:type="dxa" w:w="3969"/>
            <w:vAlign w:val="center"/>
          </w:tcPr>
          <w:p>
            <w:pPr>
              <w:pStyle w:val="RoadmapTable"/>
            </w:pPr>
            <w:r>
              <w:t>首期契约、数据归属、基础模块与关闭状态的入口</w:t>
            </w:r>
          </w:p>
        </w:tc>
        <w:tc>
          <w:tcPr>
            <w:tcW w:type="dxa" w:w="3855"/>
            <w:vAlign w:val="center"/>
          </w:tcPr>
          <w:p>
            <w:pPr>
              <w:pStyle w:val="RoadmapTable"/>
            </w:pPr>
            <w:r>
              <w:t>lxy 组织；三位消费方会审；同时复验已知 CI 基线失败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oadmapTable"/>
            </w:pPr>
            <w:r>
              <w:t>9 月 22–24 日</w:t>
            </w:r>
          </w:p>
        </w:tc>
        <w:tc>
          <w:tcPr>
            <w:tcW w:type="dxa" w:w="3969"/>
            <w:vAlign w:val="center"/>
          </w:tcPr>
          <w:p>
            <w:pPr>
              <w:pStyle w:val="RoadmapTable"/>
            </w:pPr>
            <w:r>
              <w:t>场次报名配置、双队运行、Flag 与账本、最小页面</w:t>
            </w:r>
          </w:p>
        </w:tc>
        <w:tc>
          <w:tcPr>
            <w:tcW w:type="dxa" w:w="3855"/>
            <w:vAlign w:val="center"/>
          </w:tcPr>
          <w:p>
            <w:pPr>
              <w:pStyle w:val="RoadmapTable"/>
            </w:pPr>
            <w:r>
              <w:t>四人按第 3 节并行；22 日确认 Flag 注入和两队真实互访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oadmapTable"/>
            </w:pPr>
            <w:r>
              <w:t>9 月 25 日</w:t>
            </w:r>
          </w:p>
        </w:tc>
        <w:tc>
          <w:tcPr>
            <w:tcW w:type="dxa" w:w="3969"/>
            <w:vAlign w:val="center"/>
          </w:tcPr>
          <w:p>
            <w:pPr>
              <w:pStyle w:val="RoadmapTable"/>
            </w:pPr>
            <w:r>
              <w:t>一条真实的报名到 Flag KO 流程</w:t>
            </w:r>
          </w:p>
        </w:tc>
        <w:tc>
          <w:tcPr>
            <w:tcW w:type="dxa" w:w="3855"/>
            <w:vAlign w:val="center"/>
          </w:tcPr>
          <w:p>
            <w:pPr>
              <w:pStyle w:val="RoadmapTable"/>
            </w:pPr>
            <w:r>
              <w:t>lxy 集成，yhr 运行接入，lmr 判定，lcx 页面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oadmapTable"/>
            </w:pPr>
            <w:r>
              <w:t>9 月 28–29 日</w:t>
            </w:r>
          </w:p>
        </w:tc>
        <w:tc>
          <w:tcPr>
            <w:tcW w:type="dxa" w:w="3969"/>
            <w:vAlign w:val="center"/>
          </w:tcPr>
          <w:p>
            <w:pPr>
              <w:pStyle w:val="RoadmapTable"/>
            </w:pPr>
            <w:r>
              <w:t>并发、重启、失败重试、权限和清理验收</w:t>
            </w:r>
          </w:p>
        </w:tc>
        <w:tc>
          <w:tcPr>
            <w:tcW w:type="dxa" w:w="3855"/>
            <w:vAlign w:val="center"/>
          </w:tcPr>
          <w:p>
            <w:pPr>
              <w:pStyle w:val="RoadmapTable"/>
            </w:pPr>
            <w:r>
              <w:t>各包作者修复；金币完整联调；测试商品仅在主流程通过后考虑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RoadmapTable"/>
            </w:pPr>
            <w:r>
              <w:t>9 月 30 日左右</w:t>
            </w:r>
          </w:p>
        </w:tc>
        <w:tc>
          <w:tcPr>
            <w:tcW w:type="dxa" w:w="3969"/>
            <w:vAlign w:val="center"/>
          </w:tcPr>
          <w:p>
            <w:pPr>
              <w:pStyle w:val="RoadmapTable"/>
            </w:pPr>
            <w:r>
              <w:t>演示、验收记录和交接</w:t>
            </w:r>
          </w:p>
        </w:tc>
        <w:tc>
          <w:tcPr>
            <w:tcW w:type="dxa" w:w="3855"/>
            <w:vAlign w:val="center"/>
          </w:tcPr>
          <w:p>
            <w:pPr>
              <w:pStyle w:val="RoadmapTable"/>
            </w:pPr>
            <w:r>
              <w:t>lxy 组织，用同一合并提交重复完成完整流程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既有 CI 失败来自对 f389d26c 的此前核查，本次未重跑。lxy 负责组织基线复验和修复分配，失败明细见</w:t>
      </w:r>
      <w:hyperlink r:id="rId10">
        <w:r>
          <w:t>原路线第 3 节</w:t>
        </w:r>
      </w:hyperlink>
      <w:r>
        <w:t>。设计与独立工作可以同时推进，合并按仓库门禁执行。</w:t>
      </w:r>
    </w:p>
    <w:p>
      <w:pPr>
        <w:pStyle w:val="Heading2"/>
      </w:pPr>
      <w:r>
        <w:t>合并批次</w:t>
      </w:r>
    </w:p>
    <w:p>
      <w:r>
        <w:t>第一批合入最小契约与模块基础，明确场次终局、Flag 注入和账本事务约定。第二批并行开发报名配置、运行适配、Flag 判定、账本及独立页面，按依赖逐笔合入。第三批连接真实接口并完成整场验收。</w:t>
      </w:r>
    </w:p>
    <w:p>
      <w:r>
        <w:t>每个任务从最新 origin/main 创建独立 codex 分支和 worktree。生产方与消费方先审查接口，契约合入后依赖方同步 main。已推送分支用正常 merge 同步主线；每个 PR 包含自身代码、测试和必要文档。</w:t>
      </w:r>
    </w:p>
    <w:p>
      <w:r>
        <w:t>lxy 排定数据库迁移顺序，lmr 替补。实体、迁移、快照和读写代码在同一 PR 中提交；后一笔迁移在前一笔合入后同步并生成。lcx 统一处理前端路由和生成客户端，生成文件按合并后的源契约重新生成。各人按场次、运行、判定、金币、前端目录分文件，避免共改一个总服务。</w:t>
      </w:r>
    </w:p>
    <w:p>
      <w:r>
        <w:t>沿用</w:t>
      </w:r>
      <w:hyperlink r:id="rId11">
        <w:r>
          <w:t>并行规范</w:t>
        </w:r>
      </w:hyperlink>
      <w:r>
        <w:t>中的工作区隔离、审查和生成文件规则；其中旧商城、产币、Checker 任务及旧排期由本页取代。</w:t>
      </w:r>
    </w:p>
    <w:p>
      <w:pPr>
        <w:pStyle w:val="Heading1"/>
        <w:pageBreakBefore/>
      </w:pPr>
      <w:r>
        <w:t>7 第一阶段验收</w:t>
      </w:r>
    </w:p>
    <w:p>
      <w:r>
        <w:t>首期签收用真实页面、主站接口、数据库和隔离运行环境完成以下流程。场景获取 Flag 的操作由出题人或授权测试人员执行，记录只保留脱敏编号和结果。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6917"/>
      </w:tblGrid>
      <w:tr>
        <w:trPr>
          <w:cantSplit/>
          <w:tblHeader/>
        </w:trPr>
        <w:tc>
          <w:tcPr>
            <w:tcW w:type="dxa" w:w="2381"/>
            <w:vAlign w:val="center"/>
            <w:shd w:fill="E8EFF5"/>
          </w:tcPr>
          <w:p>
            <w:pPr>
              <w:pStyle w:val="RoadmapTableHeader"/>
            </w:pPr>
            <w:r>
              <w:t>验收项</w:t>
            </w:r>
          </w:p>
        </w:tc>
        <w:tc>
          <w:tcPr>
            <w:tcW w:type="dxa" w:w="6917"/>
            <w:vAlign w:val="center"/>
            <w:shd w:fill="E8EFF5"/>
          </w:tcPr>
          <w:p>
            <w:pPr>
              <w:pStyle w:val="RoadmapTableHeader"/>
            </w:pPr>
            <w:r>
              <w:t>应看到的结果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进入和报名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两队从正式入口报名，管理员审核；非参赛用户的操作被权限校验拒绝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配置和准备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选择固定场景并保存，两队各有正确环境、核心和独立 Flag；准备期间访问关闭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统一开赛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两队就绪后成功开赛，双方能够通过公布入口完成允许的攻防访问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Flag 与 KO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从对方核心真实取得 Flag 并提交，页面显示正确胜负和提交编号；刷新后仍一致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提交边界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错误、自身、跨场、旧代次及开赛前提交均无 KO；重复和并发请求只保存一个终局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金币加减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测试初始 100，加 30、减 20 后为 110；重复同一请求仍为 110；不足扣减保持原余额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恢复与清理</w:t>
            </w:r>
          </w:p>
        </w:tc>
        <w:tc>
          <w:tcPr>
            <w:tcW w:type="dxa" w:w="6917"/>
            <w:vAlign w:val="center"/>
          </w:tcPr>
          <w:p>
            <w:pPr>
              <w:pStyle w:val="RoadmapTable"/>
            </w:pPr>
            <w:r>
              <w:t>主站重启后状态一致；一队准备失败可查可处理；终局后访问关闭、资源回收可重试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金币并发另测两笔各扣 80、初始余额为 100 的请求，只允许一笔成功，余额为 20。测试商品若启用，额外验证固定价格、余额不足和重复点击；这些数字仅为验收样例。</w:t>
      </w:r>
    </w:p>
    <w:p>
      <w:r>
        <w:t>真实验收需确认另一场测试环境仍可正常访问，清理只处理本场资源。页面检查 390、1366、1920、2560 像素宽度、日夜主题、键盘操作及减少动效设置。</w:t>
      </w:r>
    </w:p>
    <w:p>
      <w:r>
        <w:t>后端和前端按 AGENTS.md 完成相应门禁。共享契约、迁移、认证、金额和终局并发需要数据库及跨模块验证。结果记录对应的提交、场景版本、场次和运行代次，未执行项目明确说明。</w:t>
      </w:r>
    </w:p>
    <w:p>
      <w:pPr>
        <w:pStyle w:val="Heading2"/>
      </w:pPr>
      <w:r>
        <w:t>源码与后续设计入口</w:t>
      </w:r>
    </w:p>
    <w:p>
      <w:r/>
      <w:hyperlink r:id="rId12">
        <w:r>
          <w:t>报名入口</w:t>
        </w:r>
      </w:hyperlink>
      <w:r>
        <w:t>、</w:t>
      </w:r>
      <w:hyperlink r:id="rId13">
        <w:r>
          <w:t>TeamLab 适配</w:t>
        </w:r>
      </w:hyperlink>
      <w:r>
        <w:t>、</w:t>
      </w:r>
      <w:hyperlink r:id="rId14">
        <w:r>
          <w:t>现有 Flag 提交</w:t>
        </w:r>
      </w:hyperlink>
      <w:r>
        <w:t>、</w:t>
      </w:r>
      <w:hyperlink r:id="rId15">
        <w:r>
          <w:t>vNext 路由</w:t>
        </w:r>
      </w:hyperlink>
      <w:r>
        <w:t>和</w:t>
      </w:r>
      <w:hyperlink r:id="rId16">
        <w:r>
          <w:t>模块导航</w:t>
        </w:r>
      </w:hyperlink>
      <w:r>
        <w:t>是本次核查依据。</w:t>
      </w:r>
      <w:hyperlink r:id="rId17">
        <w:r>
          <w:t>双港业务目标验证</w:t>
        </w:r>
      </w:hyperlink>
      <w:r>
        <w:t>保留为后续 Checker 方案。</w:t>
      </w:r>
    </w:p>
    <w:p>
      <w:r>
        <w:t>出题人与 yhr 将具体账号权限及可修改配置列入场景包，lxy 签收后用于联调。首期已确认的报名、开赛、Flag 终局和防守范围写入首笔契约 PR。</w:t>
      </w:r>
    </w:p>
    <w:sectPr w:rsidR="00FC693F" w:rsidRPr="0006063C" w:rsidSect="00034616">
      <w:footerReference w:type="default" r:id="rId9"/>
      <w:pgSz w:w="11906" w:h="16838"/>
      <w:pgMar w:top="1077" w:right="1304" w:bottom="1077" w:left="130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00"/>
    </w:pPr>
    <w:rPr>
      <w:rFonts w:ascii="SimSun" w:hAnsi="SimSun" w:eastAsia="SimSun" w:cs="SimSun"/>
      <w:b w:val="0"/>
      <w:color w:val="000000"/>
      <w:sz w:val="24"/>
      <w:bCs w:val="0"/>
      <w:szCs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160" w:after="140"/>
      <w:outlineLvl w:val="0"/>
    </w:pPr>
    <w:rPr>
      <w:rFonts w:ascii="SimHei" w:hAnsi="SimHei" w:eastAsia="SimHei" w:cs="SimHei"/>
      <w:b w:val="0"/>
      <w:bCs w:val="0"/>
      <w:color w:val="000000"/>
      <w:sz w:val="32"/>
      <w:szCs w:val="32"/>
      <w:lang w:val="zh-CN" w:eastAsia="zh-CN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="SimHei" w:hAnsi="SimHei" w:eastAsia="SimHei" w:cs="SimHei"/>
      <w:b w:val="0"/>
      <w:bCs w:val="0"/>
      <w:color w:val="000000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rsid w:val="00FC693F"/>
    <w:pPr>
      <w:keepNext/>
      <w:spacing w:after="140" w:line="240" w:lineRule="auto" w:before="0"/>
      <w:contextualSpacing/>
    </w:pPr>
    <w:rPr>
      <w:rFonts w:ascii="SimHei" w:hAnsi="SimHei" w:eastAsia="SimHei" w:cs="SimHei"/>
      <w:b w:val="0"/>
      <w:color w:val="000000"/>
      <w:spacing w:val="5"/>
      <w:kern w:val="28"/>
      <w:sz w:val="44"/>
      <w:szCs w:val="44"/>
      <w:bCs w:val="0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admapTable">
    <w:name w:val="Roadmap Table"/>
    <w:basedOn w:val="Normal"/>
    <w:pPr>
      <w:spacing w:line="320" w:lineRule="exact" w:after="40"/>
    </w:pPr>
    <w:rPr>
      <w:rFonts w:ascii="SimSun" w:hAnsi="SimSun" w:eastAsia="SimSun" w:cs="SimSun"/>
      <w:b w:val="0"/>
      <w:color w:val="000000"/>
      <w:sz w:val="21"/>
      <w:bCs w:val="0"/>
      <w:szCs w:val="21"/>
      <w:lang w:val="zh-CN" w:eastAsia="zh-CN"/>
    </w:rPr>
  </w:style>
  <w:style w:type="paragraph" w:customStyle="1" w:styleId="RoadmapTableHeader">
    <w:name w:val="Roadmap Table Header"/>
    <w:basedOn w:val="Normal"/>
    <w:pPr>
      <w:spacing w:line="320" w:lineRule="exact" w:after="40"/>
    </w:pPr>
    <w:rPr>
      <w:rFonts w:ascii="SimHei" w:hAnsi="SimHei" w:eastAsia="SimHei" w:cs="SimHei"/>
      <w:b w:val="0"/>
      <w:color w:val="000000"/>
      <w:sz w:val="21"/>
      <w:bCs w:val="0"/>
      <w:szCs w:val="21"/>
      <w:lang w:val="zh-CN" w:eastAsia="zh-CN"/>
    </w:rPr>
  </w:style>
  <w:style w:type="paragraph" w:customStyle="1" w:styleId="RoadmapCode">
    <w:name w:val="Roadmap Code"/>
    <w:basedOn w:val="Normal"/>
    <w:pPr>
      <w:spacing w:line="280" w:lineRule="exact" w:after="40"/>
    </w:pPr>
    <w:rPr>
      <w:rFonts w:ascii="Consolas" w:hAnsi="Consolas" w:eastAsia="SimSun" w:cs="Consolas"/>
      <w:b w:val="0"/>
      <w:color w:val="000000"/>
      <w:sz w:val="18"/>
      <w:bCs w:val="0"/>
      <w:szCs w:val="18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Y3X1L2/newGZCTF/blob/codex/league-roadmap-20260919/docs/development/league/roadmap-20260919.md#3-&#22522;&#32447;&#27979;&#35797;&#38656;&#35201;&#20808;&#22788;&#29702;&#30340;&#20869;&#23481;" TargetMode="External"/><Relationship Id="rId11" Type="http://schemas.openxmlformats.org/officeDocument/2006/relationships/hyperlink" Target="https://github.com/Y3X1L2/newGZCTF/blob/codex/league-roadmap-20260919/docs/development/league/parallel-development-20260919.md" TargetMode="External"/><Relationship Id="rId12" Type="http://schemas.openxmlformats.org/officeDocument/2006/relationships/hyperlink" Target="https://github.com/Y3X1L2/newGZCTF/blob/codex/league-roadmap-20260919/src/GZCTF/Controllers/GameController.cs" TargetMode="External"/><Relationship Id="rId13" Type="http://schemas.openxmlformats.org/officeDocument/2006/relationships/hyperlink" Target="https://github.com/Y3X1L2/newGZCTF/blob/codex/league-roadmap-20260919/src/GZCTF/Modules/Penetration/Application/PenetrationTeamLabAdapter.cs" TargetMode="External"/><Relationship Id="rId14" Type="http://schemas.openxmlformats.org/officeDocument/2006/relationships/hyperlink" Target="https://github.com/Y3X1L2/newGZCTF/blob/codex/league-roadmap-20260919/src/GZCTF/Modules/Penetration/Application/PenetrationObjectiveService.cs" TargetMode="External"/><Relationship Id="rId15" Type="http://schemas.openxmlformats.org/officeDocument/2006/relationships/hyperlink" Target="https://github.com/Y3X1L2/newGZCTF/blob/codex/league-roadmap-20260919/src/GZCTF/ClientApp/src/vnext/app/VNextApp.tsx" TargetMode="External"/><Relationship Id="rId16" Type="http://schemas.openxmlformats.org/officeDocument/2006/relationships/hyperlink" Target="https://github.com/Y3X1L2/newGZCTF/blob/codex/league-roadmap-20260919/src/GZCTF/ClientApp/src/vnext/app/shell/moduleRegistry.ts" TargetMode="External"/><Relationship Id="rId17" Type="http://schemas.openxmlformats.org/officeDocument/2006/relationships/hyperlink" Target="https://github.com/Y3X1L2/newGZCTF/blob/codex/league-roadmap-20260919/docs/development/league/demo-verification-2026092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联赛第一阶段最小实现与分工</dc:title>
  <dc:subject>首期范围、核心 Flag KO、金币加减和并行开发安排</dc:subject>
  <dc:creator>YINYU</dc:creator>
  <cp:keywords/>
  <dc:description>generated by python-docx</dc:description>
  <cp:lastModifiedBy/>
  <cp:revision>1</cp:revision>
  <dcterms:created xsi:type="dcterms:W3CDTF">2026-09-20T00:00:00Z</dcterms:created>
  <dcterms:modified xsi:type="dcterms:W3CDTF">2026-09-20T00:00:00Z</dcterms:modified>
  <cp:category/>
</cp:coreProperties>
</file>