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JS Duckfuscator</w:t>
      </w:r>
    </w:p>
    <w:p>
      <w:pPr>
        <w:pStyle w:val="Subtitle"/>
      </w:pPr>
      <w:r>
        <w:t>Technical runbook: how the local JavaScript deobfuscator works</w:t>
      </w:r>
    </w:p>
    <w:p>
      <w:pPr>
        <w:pStyle w:val="DocMeta"/>
      </w:pPr>
      <w:r>
        <w:t>Version 1.0    |    3 September 2026    |    Single-file HTML tool, runs entirely offline</w:t>
      </w:r>
    </w:p>
    <w:p>
      <w:pPr>
        <w:pStyle w:val="Heading1"/>
      </w:pPr>
      <w:r>
        <w:t>1. What this tool is</w:t>
      </w:r>
    </w:p>
    <w:p>
      <w:r>
        <w:t>JS Duckfuscator is one HTML file you open in a web browser. You paste obfuscated JavaScript into the left pane, press a button, and readable JavaScript appears in the right pane. There is no installation, no server, and no build step.</w:t>
      </w:r>
    </w:p>
    <w:p>
      <w:r>
        <w:t xml:space="preserve">Everything happens inside your browser tab. The page loads no external scripts, makes no network requests, and sends nothing anywhere. This matters during an engagement: obfuscated samples often contain client hostnames, API paths, tokens, or campaign identifiers, and pasting those into a public online beautifier hands that information to a third party. Working locally avoids that entirely.</w:t>
      </w:r>
    </w:p>
    <w:p>
      <w:pPr>
        <w:pStyle w:val="Callout"/>
      </w:pPr>
      <w:r>
        <w:rPr>
          <w:b/>
        </w:rPr>
        <w:t xml:space="preserve">In one sentence: </w:t>
      </w:r>
      <w:r>
        <w:t>the tool reverses the mechanical tricks that make JavaScript unreadable (packing, escaped characters, split strings, bracket lookups) and then reformats what is left.</w:t>
      </w:r>
    </w:p>
    <w:p>
      <w:pPr>
        <w:pStyle w:val="Heading1"/>
      </w:pPr>
      <w:r>
        <w:t>2. Quick start</w:t>
      </w:r>
    </w:p>
    <w:p>
      <w:pPr>
        <w:pStyle w:val="ListParagraph"/>
        <w:numPr>
          <w:ilvl w:val="0"/>
          <w:numId w:val="2"/>
        </w:numPr>
      </w:pPr>
      <w:r>
        <w:t xml:space="preserve">Double-click </w:t>
      </w:r>
      <w:r>
        <w:rPr>
          <w:rStyle w:val="CodeChar"/>
        </w:rPr>
        <w:t>js-deobfuscator.html</w:t>
      </w:r>
      <w:r>
        <w:t>. It opens in your default browser.</w:t>
      </w:r>
    </w:p>
    <w:p>
      <w:pPr>
        <w:pStyle w:val="ListParagraph"/>
        <w:numPr>
          <w:ilvl w:val="0"/>
          <w:numId w:val="2"/>
        </w:numPr>
      </w:pPr>
      <w:r>
        <w:t>Paste the obfuscated code into the top (or left) pane. You can also click Open file to load a .js file from disk.</w:t>
      </w:r>
    </w:p>
    <w:p>
      <w:pPr>
        <w:pStyle w:val="ListParagraph"/>
        <w:numPr>
          <w:ilvl w:val="0"/>
          <w:numId w:val="2"/>
        </w:numPr>
      </w:pPr>
      <w:r>
        <w:t xml:space="preserve">Press </w:t>
      </w:r>
      <w:r>
        <w:rPr>
          <w:rStyle w:val="CodeChar"/>
        </w:rPr>
        <w:t>Ctrl+Enter</w:t>
      </w:r>
      <w:r>
        <w:t xml:space="preserve"> or click </w:t>
      </w:r>
      <w:r>
        <w:rPr>
          <w:b/>
        </w:rPr>
        <w:t>Deobfuscate</w:t>
      </w:r>
      <w:r>
        <w:t>.</w:t>
      </w:r>
    </w:p>
    <w:p>
      <w:pPr>
        <w:pStyle w:val="ListParagraph"/>
        <w:numPr>
          <w:ilvl w:val="0"/>
          <w:numId w:val="2"/>
        </w:numPr>
      </w:pPr>
      <w:r>
        <w:t>Read the status bar at the bottom. It tells you which transformations actually fired.</w:t>
      </w:r>
    </w:p>
    <w:p>
      <w:pPr>
        <w:pStyle w:val="ListParagraph"/>
        <w:numPr>
          <w:ilvl w:val="0"/>
          <w:numId w:val="2"/>
        </w:numPr>
      </w:pPr>
      <w:r>
        <w:t>Use Copy output or Download .js to keep the result.</w:t>
      </w:r>
    </w:p>
    <w:p>
      <w:pPr>
        <w:pStyle w:val="Heading2"/>
      </w:pPr>
      <w:r>
        <w:t>Controls at a glance</w:t>
      </w:r>
    </w:p>
    <w:tbl>
      <w:tblPr>
        <w:tblW w:w="10080" w:type="dxa"/>
        <w:tblBorders>
          <w:top w:val="single" w:sz="6" w:color="D2DAE4"/>
          <w:left w:val="single" w:sz="6" w:color="D2DAE4"/>
          <w:bottom w:val="single" w:sz="6" w:color="D2DAE4"/>
          <w:right w:val="single" w:sz="6" w:color="D2DAE4"/>
          <w:insideH w:val="single" w:sz="6" w:color="E3E9F0"/>
          <w:insideV w:val="single" w:sz="6" w:color="E3E9F0"/>
        </w:tblBorders>
        <w:tblCellMar>
          <w:top w:w="60" w:type="dxa"/>
          <w:left w:w="110" w:type="dxa"/>
          <w:bottom w:w="60" w:type="dxa"/>
          <w:right w:w="110" w:type="dxa"/>
        </w:tblCellMar>
      </w:tblPr>
      <w:tblGrid>
        <w:gridCol w:w="2600"/>
        <w:gridCol w:w="7480"/>
      </w:tblGrid>
      <w:tr>
        <w:trPr>
          <w:tblHeader/>
        </w:trPr>
        <w:tc>
          <w:tcPr>
            <w:tcW w:w="2600" w:type="dxa"/>
            <w:shd w:val="clear" w:color="auto" w:fill="EAF1FE"/>
          </w:tcPr>
          <w:p>
            <w:pPr>
              <w:pStyle w:val="TableHead"/>
            </w:pPr>
            <w:r>
              <w:t>Control</w:t>
            </w:r>
          </w:p>
        </w:tc>
        <w:tc>
          <w:tcPr>
            <w:tcW w:w="7480" w:type="dxa"/>
            <w:shd w:val="clear" w:color="auto" w:fill="EAF1FE"/>
          </w:tcPr>
          <w:p>
            <w:pPr>
              <w:pStyle w:val="TableHead"/>
            </w:pPr>
            <w:r>
              <w:t>What it does</w:t>
            </w:r>
          </w:p>
        </w:tc>
      </w:tr>
      <w:tr>
        <w:tc>
          <w:tcPr>
            <w:tcW w:w="2600" w:type="dxa"/>
          </w:tcPr>
          <w:p>
            <w:pPr>
              <w:pStyle w:val="TableCell"/>
            </w:pPr>
            <w:r>
              <w:t>Deobfuscate / Ctrl+Enter</w:t>
            </w:r>
          </w:p>
        </w:tc>
        <w:tc>
          <w:tcPr>
            <w:tcW w:w="7480" w:type="dxa"/>
          </w:tcPr>
          <w:p>
            <w:pPr>
              <w:pStyle w:val="TableCell"/>
            </w:pPr>
            <w:r>
              <w:t>Runs the whole pipeline on whatever is in the input pane.</w:t>
            </w:r>
          </w:p>
        </w:tc>
      </w:tr>
      <w:tr>
        <w:tc>
          <w:tcPr>
            <w:tcW w:w="2600" w:type="dxa"/>
          </w:tcPr>
          <w:p>
            <w:pPr>
              <w:pStyle w:val="TableCell"/>
            </w:pPr>
            <w:r>
              <w:t>Load sample</w:t>
            </w:r>
          </w:p>
        </w:tc>
        <w:tc>
          <w:tcPr>
            <w:tcW w:w="7480" w:type="dxa"/>
          </w:tcPr>
          <w:p>
            <w:pPr>
              <w:pStyle w:val="TableCell"/>
            </w:pPr>
            <w:r>
              <w:t>Fills the input with a known packed script so you can confirm the tool works.</w:t>
            </w:r>
          </w:p>
        </w:tc>
      </w:tr>
      <w:tr>
        <w:tc>
          <w:tcPr>
            <w:tcW w:w="2600" w:type="dxa"/>
          </w:tcPr>
          <w:p>
            <w:pPr>
              <w:pStyle w:val="TableCell"/>
            </w:pPr>
            <w:r>
              <w:t>Open file</w:t>
            </w:r>
          </w:p>
        </w:tc>
        <w:tc>
          <w:tcPr>
            <w:tcW w:w="7480" w:type="dxa"/>
          </w:tcPr>
          <w:p>
            <w:pPr>
              <w:pStyle w:val="TableCell"/>
            </w:pPr>
            <w:r>
              <w:t>Loads a .js, .txt, .html or .json file from disk into the input pane.</w:t>
            </w:r>
          </w:p>
        </w:tc>
      </w:tr>
      <w:tr>
        <w:tc>
          <w:tcPr>
            <w:tcW w:w="2600" w:type="dxa"/>
          </w:tcPr>
          <w:p>
            <w:pPr>
              <w:pStyle w:val="TableCell"/>
            </w:pPr>
            <w:r>
              <w:t>Copy output / Download .js</w:t>
            </w:r>
          </w:p>
        </w:tc>
        <w:tc>
          <w:tcPr>
            <w:tcW w:w="7480" w:type="dxa"/>
          </w:tcPr>
          <w:p>
            <w:pPr>
              <w:pStyle w:val="TableCell"/>
            </w:pPr>
            <w:r>
              <w:t>Copies the clean text to the clipboard, or saves it as deobfuscated.js.</w:t>
            </w:r>
          </w:p>
        </w:tc>
      </w:tr>
      <w:tr>
        <w:tc>
          <w:tcPr>
            <w:tcW w:w="2600" w:type="dxa"/>
          </w:tcPr>
          <w:p>
            <w:pPr>
              <w:pStyle w:val="TableCell"/>
            </w:pPr>
            <w:r>
              <w:t>Divider between panes</w:t>
            </w:r>
          </w:p>
        </w:tc>
        <w:tc>
          <w:tcPr>
            <w:tcW w:w="7480" w:type="dxa"/>
          </w:tcPr>
          <w:p>
            <w:pPr>
              <w:pStyle w:val="TableCell"/>
            </w:pPr>
            <w:r>
              <w:t>Drag to resize: one pane grows exactly as much as the other shrinks. Double-click resets to 50/50; arrow keys nudge it. The position is remembered.</w:t>
            </w:r>
          </w:p>
        </w:tc>
      </w:tr>
    </w:tbl>
    <w:p>
      <w:pPr>
        <w:pStyle w:val="Heading1"/>
      </w:pPr>
      <w:r>
        <w:t>3. How it works: the pipeline</w:t>
      </w:r>
    </w:p>
    <w:p>
      <w:r>
        <w:t>The tool is not one clever trick. It is a short assembly line. Each stage undoes one specific kind of obfuscation and hands its output to the next stage. If a stage finds nothing to do, it passes the code through untouched.</w:t>
      </w:r>
    </w:p>
    <w:tbl>
      <w:tblPr>
        <w:tblW w:w="10080" w:type="dxa"/>
        <w:tblBorders>
          <w:top w:val="single" w:sz="6" w:color="D2DAE4"/>
          <w:left w:val="single" w:sz="6" w:color="D2DAE4"/>
          <w:bottom w:val="single" w:sz="6" w:color="D2DAE4"/>
          <w:right w:val="single" w:sz="6" w:color="D2DAE4"/>
          <w:insideH w:val="single" w:sz="6" w:color="E3E9F0"/>
          <w:insideV w:val="single" w:sz="6" w:color="E3E9F0"/>
        </w:tblBorders>
        <w:tblCellMar>
          <w:top w:w="60" w:type="dxa"/>
          <w:left w:w="110" w:type="dxa"/>
          <w:bottom w:w="60" w:type="dxa"/>
          <w:right w:w="110" w:type="dxa"/>
        </w:tblCellMar>
      </w:tblPr>
      <w:tblGrid>
        <w:gridCol w:w="800"/>
        <w:gridCol w:w="2700"/>
        <w:gridCol w:w="6580"/>
      </w:tblGrid>
      <w:tr>
        <w:trPr>
          <w:tblHeader/>
        </w:trPr>
        <w:tc>
          <w:tcPr>
            <w:tcW w:w="800" w:type="dxa"/>
            <w:shd w:val="clear" w:color="auto" w:fill="EAF1FE"/>
          </w:tcPr>
          <w:p>
            <w:pPr>
              <w:pStyle w:val="TableHead"/>
            </w:pPr>
            <w:r>
              <w:t>Step</w:t>
            </w:r>
          </w:p>
        </w:tc>
        <w:tc>
          <w:tcPr>
            <w:tcW w:w="2700" w:type="dxa"/>
            <w:shd w:val="clear" w:color="auto" w:fill="EAF1FE"/>
          </w:tcPr>
          <w:p>
            <w:pPr>
              <w:pStyle w:val="TableHead"/>
            </w:pPr>
            <w:r>
              <w:t>Stage</w:t>
            </w:r>
          </w:p>
        </w:tc>
        <w:tc>
          <w:tcPr>
            <w:tcW w:w="6580" w:type="dxa"/>
            <w:shd w:val="clear" w:color="auto" w:fill="EAF1FE"/>
          </w:tcPr>
          <w:p>
            <w:pPr>
              <w:pStyle w:val="TableHead"/>
            </w:pPr>
            <w:r>
              <w:t>Plain-English job</w:t>
            </w:r>
          </w:p>
        </w:tc>
      </w:tr>
      <w:tr>
        <w:tc>
          <w:tcPr>
            <w:tcW w:w="800" w:type="dxa"/>
          </w:tcPr>
          <w:p>
            <w:pPr>
              <w:pStyle w:val="TableCell"/>
            </w:pPr>
            <w:r>
              <w:t>1</w:t>
            </w:r>
          </w:p>
        </w:tc>
        <w:tc>
          <w:tcPr>
            <w:tcW w:w="2700" w:type="dxa"/>
          </w:tcPr>
          <w:p>
            <w:pPr>
              <w:pStyle w:val="TableCell"/>
            </w:pPr>
            <w:r>
              <w:t>Unpack eval / P.A.C.K.E.R.</w:t>
            </w:r>
          </w:p>
        </w:tc>
        <w:tc>
          <w:tcPr>
            <w:tcW w:w="6580" w:type="dxa"/>
          </w:tcPr>
          <w:p>
            <w:pPr>
              <w:pStyle w:val="TableCell"/>
            </w:pPr>
            <w:r>
              <w:t>Recovers the real source code hidden inside a packer wrapper. Repeats for nested layers.</w:t>
            </w:r>
          </w:p>
        </w:tc>
      </w:tr>
      <w:tr>
        <w:tc>
          <w:tcPr>
            <w:tcW w:w="800" w:type="dxa"/>
          </w:tcPr>
          <w:p>
            <w:pPr>
              <w:pStyle w:val="TableCell"/>
            </w:pPr>
            <w:r>
              <w:t>2</w:t>
            </w:r>
          </w:p>
        </w:tc>
        <w:tc>
          <w:tcPr>
            <w:tcW w:w="2700" w:type="dxa"/>
          </w:tcPr>
          <w:p>
            <w:pPr>
              <w:pStyle w:val="TableCell"/>
            </w:pPr>
            <w:r>
              <w:t>Character codes</w:t>
            </w:r>
          </w:p>
        </w:tc>
        <w:tc>
          <w:tcPr>
            <w:tcW w:w="6580" w:type="dxa"/>
          </w:tcPr>
          <w:p>
            <w:pPr>
              <w:pStyle w:val="TableCell"/>
            </w:pPr>
            <w:r>
              <w:t>Turns lists of numbers back into the words they spell.</w:t>
            </w:r>
          </w:p>
        </w:tc>
      </w:tr>
      <w:tr>
        <w:tc>
          <w:tcPr>
            <w:tcW w:w="800" w:type="dxa"/>
          </w:tcPr>
          <w:p>
            <w:pPr>
              <w:pStyle w:val="TableCell"/>
            </w:pPr>
            <w:r>
              <w:t>3</w:t>
            </w:r>
          </w:p>
        </w:tc>
        <w:tc>
          <w:tcPr>
            <w:tcW w:w="2700" w:type="dxa"/>
          </w:tcPr>
          <w:p>
            <w:pPr>
              <w:pStyle w:val="TableCell"/>
            </w:pPr>
            <w:r>
              <w:t>Escape decoding</w:t>
            </w:r>
          </w:p>
        </w:tc>
        <w:tc>
          <w:tcPr>
            <w:tcW w:w="6580" w:type="dxa"/>
          </w:tcPr>
          <w:p>
            <w:pPr>
              <w:pStyle w:val="TableCell"/>
            </w:pPr>
            <w:r>
              <w:t>Rewrites hex and unicode escapes inside strings as normal readable text.</w:t>
            </w:r>
          </w:p>
        </w:tc>
      </w:tr>
      <w:tr>
        <w:tc>
          <w:tcPr>
            <w:tcW w:w="800" w:type="dxa"/>
          </w:tcPr>
          <w:p>
            <w:pPr>
              <w:pStyle w:val="TableCell"/>
            </w:pPr>
            <w:r>
              <w:t>4</w:t>
            </w:r>
          </w:p>
        </w:tc>
        <w:tc>
          <w:tcPr>
            <w:tcW w:w="2700" w:type="dxa"/>
          </w:tcPr>
          <w:p>
            <w:pPr>
              <w:pStyle w:val="TableCell"/>
            </w:pPr>
            <w:r>
              <w:t>String joining</w:t>
            </w:r>
          </w:p>
        </w:tc>
        <w:tc>
          <w:tcPr>
            <w:tcW w:w="6580" w:type="dxa"/>
          </w:tcPr>
          <w:p>
            <w:pPr>
              <w:pStyle w:val="TableCell"/>
            </w:pPr>
            <w:r>
              <w:t>Glues split-up text back together into whole words.</w:t>
            </w:r>
          </w:p>
        </w:tc>
      </w:tr>
      <w:tr>
        <w:tc>
          <w:tcPr>
            <w:tcW w:w="800" w:type="dxa"/>
          </w:tcPr>
          <w:p>
            <w:pPr>
              <w:pStyle w:val="TableCell"/>
            </w:pPr>
            <w:r>
              <w:t>5</w:t>
            </w:r>
          </w:p>
        </w:tc>
        <w:tc>
          <w:tcPr>
            <w:tcW w:w="2700" w:type="dxa"/>
          </w:tcPr>
          <w:p>
            <w:pPr>
              <w:pStyle w:val="TableCell"/>
            </w:pPr>
            <w:r>
              <w:t>Property lookups</w:t>
            </w:r>
          </w:p>
        </w:tc>
        <w:tc>
          <w:tcPr>
            <w:tcW w:w="6580" w:type="dxa"/>
          </w:tcPr>
          <w:p>
            <w:pPr>
              <w:pStyle w:val="TableCell"/>
            </w:pPr>
            <w:r>
              <w:t>Converts bracket lookups back to normal dot notation.</w:t>
            </w:r>
          </w:p>
        </w:tc>
      </w:tr>
      <w:tr>
        <w:tc>
          <w:tcPr>
            <w:tcW w:w="800" w:type="dxa"/>
          </w:tcPr>
          <w:p>
            <w:pPr>
              <w:pStyle w:val="TableCell"/>
            </w:pPr>
            <w:r>
              <w:t>6</w:t>
            </w:r>
          </w:p>
        </w:tc>
        <w:tc>
          <w:tcPr>
            <w:tcW w:w="2700" w:type="dxa"/>
          </w:tcPr>
          <w:p>
            <w:pPr>
              <w:pStyle w:val="TableCell"/>
            </w:pPr>
            <w:r>
              <w:t>Beautify</w:t>
            </w:r>
          </w:p>
        </w:tc>
        <w:tc>
          <w:tcPr>
            <w:tcW w:w="6580" w:type="dxa"/>
          </w:tcPr>
          <w:p>
            <w:pPr>
              <w:pStyle w:val="TableCell"/>
            </w:pPr>
            <w:r>
              <w:t>Re-indents everything with line breaks and spacing so a human can read it.</w:t>
            </w:r>
          </w:p>
        </w:tc>
      </w:tr>
    </w:tbl>
    <w:p>
      <w:pPr>
        <w:pStyle w:val="Heading2"/>
      </w:pPr>
      <w:r>
        <w:t>3.1 Why it reads the code as tokens, not text</w:t>
      </w:r>
    </w:p>
    <w:p>
      <w:r>
        <w:t>Before any stage runs, the tool breaks the code into tokens: strings, numbers, names, comments, regular expressions, and punctuation. This is the same first step a real JavaScript engine takes.</w:t>
      </w:r>
    </w:p>
    <w:p>
      <w:r>
        <w:t>This matters because a naive search-and-replace gets fooled constantly. The characters // inside a web address are not a comment. A slash might mean divide, or it might start a regular expression. A brace inside a string is just a brace. Tokenizing first means every later stage edits real code and never accidentally rewrites the inside of a string or a comment.</w:t>
      </w:r>
    </w:p>
    <w:p>
      <w:pPr>
        <w:pStyle w:val="Heading2"/>
      </w:pPr>
      <w:r>
        <w:t>3.2 Unpacking the packer (the big one)</w:t>
      </w:r>
    </w:p>
    <w:p>
      <w:r>
        <w:t>The most common wrapper you will meet looks like this, and it is known as the Dean Edwards packer:</w:t>
      </w:r>
    </w:p>
    <w:p>
      <w:pPr>
        <w:pStyle w:val="Code"/>
      </w:pPr>
      <w:r>
        <w:t>eval(function(p,a,c,k,e,d){ ... }('1 i(4){h 8={"4":4}; ... }', 24, 24,</w:t>
      </w:r>
    </w:p>
    <w:p>
      <w:pPr>
        <w:pStyle w:val="Code"/>
      </w:pPr>
      <w:r>
        <w:t xml:space="preserve">  'response|function|log|console|code|dataType|json|POST|...'.split('|'), 0, {}))</w:t>
      </w:r>
    </w:p>
    <w:p>
      <w:r>
        <w:t>The idea is simple once you see it. The long quoted string is the real program with every meaningful word replaced by a short code such as 1, 8, or i. The pipe-separated list at the end is the dictionary: it holds the real words in order. The function in the middle is just a loop that walks the dictionary and swaps each short code back for its real word. Nothing is encrypted; it is a find-and-replace with a lookup table, which is also why the packed form is smaller.</w:t>
      </w:r>
    </w:p>
    <w:p>
      <w:r>
        <w:t>The tool does the same substitution the browser would, but without running the recovered program:</w:t>
      </w:r>
    </w:p>
    <w:p>
      <w:pPr>
        <w:pStyle w:val="ListParagraph"/>
        <w:numPr>
          <w:ilvl w:val="0"/>
          <w:numId w:val="1"/>
        </w:numPr>
      </w:pPr>
      <w:r>
        <w:t>It finds the eval call in the token stream and matches its opening and closing parentheses properly, so parentheses inside strings and regular expressions do not throw off the count.</w:t>
      </w:r>
    </w:p>
    <w:p>
      <w:pPr>
        <w:pStyle w:val="ListParagraph"/>
        <w:numPr>
          <w:ilvl w:val="0"/>
          <w:numId w:val="1"/>
        </w:numPr>
      </w:pPr>
      <w:r>
        <w:t>It checks that what sits inside really is a packer, by requiring the classic six-argument shape function(p, a, c, k, e, d). Anything else is left alone.</w:t>
      </w:r>
    </w:p>
    <w:p>
      <w:pPr>
        <w:pStyle w:val="ListParagraph"/>
        <w:numPr>
          <w:ilvl w:val="0"/>
          <w:numId w:val="1"/>
        </w:numPr>
      </w:pPr>
      <w:r>
        <w:t>It evaluates only that unpacking function and captures the string it returns, rather than letting eval execute the result.</w:t>
      </w:r>
    </w:p>
    <w:p>
      <w:pPr>
        <w:pStyle w:val="ListParagraph"/>
        <w:numPr>
          <w:ilvl w:val="0"/>
          <w:numId w:val="1"/>
        </w:numPr>
      </w:pPr>
      <w:r>
        <w:t>It swaps the recovered source in place of the eval call, then starts over. Packers are often stacked, so this repeats up to twelve times. The status bar reports how many layers came off.</w:t>
      </w:r>
    </w:p>
    <w:p>
      <w:pPr>
        <w:pStyle w:val="Callout"/>
      </w:pPr>
      <w:r>
        <w:rPr>
          <w:b/>
        </w:rPr>
        <w:t xml:space="preserve">The important distinction: </w:t>
      </w:r>
      <w:r>
        <w:t>a browser runs eval to execute the hidden program. This tool runs only the unwrapping function and keeps the text. The payload is read, not launched. Section 6 covers the residual risk.</w:t>
      </w:r>
    </w:p>
    <w:p>
      <w:pPr>
        <w:pStyle w:val="Heading2"/>
      </w:pPr>
      <w:r>
        <w:t>3.3 Character codes and escapes</w:t>
      </w:r>
    </w:p>
    <w:p>
      <w:r>
        <w:t>Obfuscators hide keywords from anyone scanning the file by spelling them out as numbers or escape sequences. Both are reversed here:</w:t>
      </w:r>
    </w:p>
    <w:p>
      <w:pPr>
        <w:pStyle w:val="Code"/>
      </w:pPr>
      <w:r>
        <w:t>String.fromCharCode(97,108,101,114,116)     becomes     'alert'</w:t>
      </w:r>
    </w:p>
    <w:p>
      <w:pPr>
        <w:pStyle w:val="Code"/>
      </w:pPr>
      <w:r>
        <w:t>'\x63\x6f\x6e\x73\x6f\x6c\x65'              becomes     'console'</w:t>
      </w:r>
    </w:p>
    <w:p>
      <w:r>
        <w:t>Hex, unicode, and older octal escapes are all handled. One deliberate exception: if decoding a string would produce control characters, it is left exactly as it was. That normally means the string is packed binary data rather than text, and rewriting it would corrupt it.</w:t>
      </w:r>
    </w:p>
    <w:p>
      <w:pPr>
        <w:pStyle w:val="Heading2"/>
      </w:pPr>
      <w:r>
        <w:t>3.4 Joining strings and fixing property lookups</w:t>
      </w:r>
    </w:p>
    <w:p>
      <w:r>
        <w:t>Two more habits make code hard to skim, and both are undone:</w:t>
      </w:r>
    </w:p>
    <w:p>
      <w:pPr>
        <w:pStyle w:val="Code"/>
      </w:pPr>
      <w:r>
        <w:t>'a' + 'b' + 'c'          becomes     'abc'</w:t>
      </w:r>
    </w:p>
    <w:p>
      <w:pPr>
        <w:pStyle w:val="Code"/>
      </w:pPr>
      <w:r>
        <w:t>window['console']['log'] becomes     window.console.log</w:t>
      </w:r>
    </w:p>
    <w:p>
      <w:r>
        <w:t>The second one is careful about when it applies. A bracket lookup only becomes a dot when the key is a plain identifier such as log or apiKey. Keys with spaces, dashes, digits at the front, or reserved words such as class stay in brackets, because converting them would produce code that no longer runs.</w:t>
      </w:r>
    </w:p>
    <w:p>
      <w:pPr>
        <w:pStyle w:val="Heading2"/>
      </w:pPr>
      <w:r>
        <w:t>3.5 Beautifying</w:t>
      </w:r>
    </w:p>
    <w:p>
      <w:r>
        <w:t>The last stage rebuilds the layout from the token stream: a new line and one more level of indent after an opening brace, a new line after each statement, spaces around operators, and object properties one per line. Short arrays stay on a single line; long ones are broken out so a large string table is readable rather than one endless line. Ternary expressions, regular expressions, template literals, and comments are all recognised so they survive formatting intact.</w:t>
      </w:r>
    </w:p>
    <w:p>
      <w:r>
        <w:t>You can switch beautifying off. The other transformations still run, and the code keeps its original spacing, which is useful when you want to compare against the sample byte for byte.</w:t>
      </w:r>
    </w:p>
    <w:p>
      <w:pPr>
        <w:pStyle w:val="Heading1"/>
      </w:pPr>
      <w:r>
        <w:t>4. A worked example</w:t>
      </w:r>
    </w:p>
    <w:p>
      <w:r>
        <w:t>This is the built-in sample. Before, at 859 characters on effectively one line:</w:t>
      </w:r>
    </w:p>
    <w:p>
      <w:pPr>
        <w:pStyle w:val="Code"/>
      </w:pPr>
      <w:r>
        <w:t>eval(function(p,a,c,k,e,d){e=function(c){return c.toString(36)}; ... }('1 i(4)</w:t>
      </w:r>
    </w:p>
    <w:p>
      <w:pPr>
        <w:pStyle w:val="Code"/>
      </w:pPr>
      <w:r>
        <w:t>{h 8={"4":4};$.9({a:"7",5:"6",g:8,b:\'/d/e/n\',c:1(0){3.2(0)}, ...</w:t>
      </w:r>
    </w:p>
    <w:p>
      <w:r>
        <w:t>After, in 31 readable lines:</w:t>
      </w:r>
    </w:p>
    <w:p>
      <w:pPr>
        <w:pStyle w:val="Code"/>
      </w:pPr>
      <w:r>
        <w:t>function verifyInviteCode(code) {</w:t>
      </w:r>
    </w:p>
    <w:p>
      <w:pPr>
        <w:pStyle w:val="Code"/>
      </w:pPr>
      <w:r>
        <w:t xml:space="preserve">    var formData = {</w:t>
      </w:r>
    </w:p>
    <w:p>
      <w:pPr>
        <w:pStyle w:val="Code"/>
      </w:pPr>
      <w:r>
        <w:t xml:space="preserve">        "code": code</w:t>
      </w:r>
    </w:p>
    <w:p>
      <w:pPr>
        <w:pStyle w:val="Code"/>
      </w:pPr>
      <w:r>
        <w:t xml:space="preserve">    };</w:t>
      </w:r>
    </w:p>
    <w:p>
      <w:pPr>
        <w:pStyle w:val="Code"/>
      </w:pPr>
      <w:r>
        <w:t xml:space="preserve">    $.ajax({</w:t>
      </w:r>
    </w:p>
    <w:p>
      <w:pPr>
        <w:pStyle w:val="Code"/>
      </w:pPr>
      <w:r>
        <w:t xml:space="preserve">        type: "POST",</w:t>
      </w:r>
    </w:p>
    <w:p>
      <w:pPr>
        <w:pStyle w:val="Code"/>
      </w:pPr>
      <w:r>
        <w:t xml:space="preserve">        dataType: "json",</w:t>
      </w:r>
    </w:p>
    <w:p>
      <w:pPr>
        <w:pStyle w:val="Code"/>
      </w:pPr>
      <w:r>
        <w:t xml:space="preserve">        data: formData,</w:t>
      </w:r>
    </w:p>
    <w:p>
      <w:pPr>
        <w:pStyle w:val="Code"/>
      </w:pPr>
      <w:r>
        <w:t xml:space="preserve">        url: '/api/v1/invite/verify',</w:t>
      </w:r>
    </w:p>
    <w:p>
      <w:pPr>
        <w:pStyle w:val="Code"/>
      </w:pPr>
      <w:r>
        <w:t xml:space="preserve">        success: function(response) { console.log(response) },</w:t>
      </w:r>
    </w:p>
    <w:p>
      <w:pPr>
        <w:pStyle w:val="Code"/>
      </w:pPr>
      <w:r>
        <w:t xml:space="preserve">        error: function(response) { console.log(response) }</w:t>
      </w:r>
    </w:p>
    <w:p>
      <w:pPr>
        <w:pStyle w:val="Code"/>
      </w:pPr>
      <w:r>
        <w:t xml:space="preserve">    })</w:t>
      </w:r>
    </w:p>
    <w:p>
      <w:pPr>
        <w:pStyle w:val="Code"/>
      </w:pPr>
      <w:r>
        <w:t>}</w:t>
      </w:r>
    </w:p>
    <w:p>
      <w:r>
        <w:t>The second recovered function, makeInviteCode, calls /api/v1/invite/how/to/generate. That is the payoff: two endpoint paths and two function names that were invisible thirty seconds earlier, and are now worth testing.</w:t>
      </w:r>
    </w:p>
    <w:p>
      <w:pPr>
        <w:pStyle w:val="Heading1"/>
      </w:pPr>
      <w:r>
        <w:t>5. The options bar</w:t>
      </w:r>
    </w:p>
    <w:p>
      <w:r>
        <w:t>Every stage has a toggle. They are all on by default, and a filled blue pill means the stage is armed. Turning one off is a troubleshooting tool: if an output looks wrong, switch stages off one at a time to find which one caused it.</w:t>
      </w:r>
    </w:p>
    <w:tbl>
      <w:tblPr>
        <w:tblW w:w="10080" w:type="dxa"/>
        <w:tblBorders>
          <w:top w:val="single" w:sz="6" w:color="D2DAE4"/>
          <w:left w:val="single" w:sz="6" w:color="D2DAE4"/>
          <w:bottom w:val="single" w:sz="6" w:color="D2DAE4"/>
          <w:right w:val="single" w:sz="6" w:color="D2DAE4"/>
          <w:insideH w:val="single" w:sz="6" w:color="E3E9F0"/>
          <w:insideV w:val="single" w:sz="6" w:color="E3E9F0"/>
        </w:tblBorders>
        <w:tblCellMar>
          <w:top w:w="60" w:type="dxa"/>
          <w:left w:w="110" w:type="dxa"/>
          <w:bottom w:w="60" w:type="dxa"/>
          <w:right w:w="110" w:type="dxa"/>
        </w:tblCellMar>
      </w:tblPr>
      <w:tblGrid>
        <w:gridCol w:w="3000"/>
        <w:gridCol w:w="7080"/>
      </w:tblGrid>
      <w:tr>
        <w:trPr>
          <w:tblHeader/>
        </w:trPr>
        <w:tc>
          <w:tcPr>
            <w:tcW w:w="3000" w:type="dxa"/>
            <w:shd w:val="clear" w:color="auto" w:fill="EAF1FE"/>
          </w:tcPr>
          <w:p>
            <w:pPr>
              <w:pStyle w:val="TableHead"/>
            </w:pPr>
            <w:r>
              <w:t>Toggle</w:t>
            </w:r>
          </w:p>
        </w:tc>
        <w:tc>
          <w:tcPr>
            <w:tcW w:w="7080" w:type="dxa"/>
            <w:shd w:val="clear" w:color="auto" w:fill="EAF1FE"/>
          </w:tcPr>
          <w:p>
            <w:pPr>
              <w:pStyle w:val="TableHead"/>
            </w:pPr>
            <w:r>
              <w:t>Turn it off when</w:t>
            </w:r>
          </w:p>
        </w:tc>
      </w:tr>
      <w:tr>
        <w:tc>
          <w:tcPr>
            <w:tcW w:w="3000" w:type="dxa"/>
          </w:tcPr>
          <w:p>
            <w:pPr>
              <w:pStyle w:val="TableCell"/>
            </w:pPr>
            <w:r>
              <w:t>Unpack eval / P.A.C.K.E.R.</w:t>
            </w:r>
          </w:p>
        </w:tc>
        <w:tc>
          <w:tcPr>
            <w:tcW w:w="7080" w:type="dxa"/>
          </w:tcPr>
          <w:p>
            <w:pPr>
              <w:pStyle w:val="TableCell"/>
            </w:pPr>
            <w:r>
              <w:t>You want to study the wrapper itself, or you would rather no sample code was evaluated at all.</w:t>
            </w:r>
          </w:p>
        </w:tc>
      </w:tr>
      <w:tr>
        <w:tc>
          <w:tcPr>
            <w:tcW w:w="3000" w:type="dxa"/>
          </w:tcPr>
          <w:p>
            <w:pPr>
              <w:pStyle w:val="TableCell"/>
            </w:pPr>
            <w:r>
              <w:t>Decode escapes</w:t>
            </w:r>
          </w:p>
        </w:tc>
        <w:tc>
          <w:tcPr>
            <w:tcW w:w="7080" w:type="dxa"/>
          </w:tcPr>
          <w:p>
            <w:pPr>
              <w:pStyle w:val="TableCell"/>
            </w:pPr>
            <w:r>
              <w:t>The exact original bytes of a string matter, for example when writing a detection signature.</w:t>
            </w:r>
          </w:p>
        </w:tc>
      </w:tr>
      <w:tr>
        <w:tc>
          <w:tcPr>
            <w:tcW w:w="3000" w:type="dxa"/>
          </w:tcPr>
          <w:p>
            <w:pPr>
              <w:pStyle w:val="TableCell"/>
            </w:pPr>
            <w:r>
              <w:t>String.fromCharCode</w:t>
            </w:r>
          </w:p>
        </w:tc>
        <w:tc>
          <w:tcPr>
            <w:tcW w:w="7080" w:type="dxa"/>
          </w:tcPr>
          <w:p>
            <w:pPr>
              <w:pStyle w:val="TableCell"/>
            </w:pPr>
            <w:r>
              <w:t>You need to see the numeric form, for example to document the technique in a report.</w:t>
            </w:r>
          </w:p>
        </w:tc>
      </w:tr>
      <w:tr>
        <w:tc>
          <w:tcPr>
            <w:tcW w:w="3000" w:type="dxa"/>
          </w:tcPr>
          <w:p>
            <w:pPr>
              <w:pStyle w:val="TableCell"/>
            </w:pPr>
            <w:r>
              <w:t>Fold string concatenation</w:t>
            </w:r>
          </w:p>
        </w:tc>
        <w:tc>
          <w:tcPr>
            <w:tcW w:w="7080" w:type="dxa"/>
          </w:tcPr>
          <w:p>
            <w:pPr>
              <w:pStyle w:val="TableCell"/>
            </w:pPr>
            <w:r>
              <w:t>You want to preserve exactly where the author split each string.</w:t>
            </w:r>
          </w:p>
        </w:tc>
      </w:tr>
      <w:tr>
        <w:tc>
          <w:tcPr>
            <w:tcW w:w="3000" w:type="dxa"/>
          </w:tcPr>
          <w:p>
            <w:pPr>
              <w:pStyle w:val="TableCell"/>
            </w:pPr>
            <w:r>
              <w:t>Bracket to dot</w:t>
            </w:r>
          </w:p>
        </w:tc>
        <w:tc>
          <w:tcPr>
            <w:tcW w:w="7080" w:type="dxa"/>
          </w:tcPr>
          <w:p>
            <w:pPr>
              <w:pStyle w:val="TableCell"/>
            </w:pPr>
            <w:r>
              <w:t>You are tracing how a script builds property names dynamically and want the lookups left as written.</w:t>
            </w:r>
          </w:p>
        </w:tc>
      </w:tr>
      <w:tr>
        <w:tc>
          <w:tcPr>
            <w:tcW w:w="3000" w:type="dxa"/>
          </w:tcPr>
          <w:p>
            <w:pPr>
              <w:pStyle w:val="TableCell"/>
            </w:pPr>
            <w:r>
              <w:t>Beautify, Indent, Highlight</w:t>
            </w:r>
          </w:p>
        </w:tc>
        <w:tc>
          <w:tcPr>
            <w:tcW w:w="7080" w:type="dxa"/>
          </w:tcPr>
          <w:p>
            <w:pPr>
              <w:pStyle w:val="TableCell"/>
            </w:pPr>
            <w:r>
              <w:t>Presentation only. Indent offers 2 spaces, 4 spaces, or tabs; highlighting can be disabled for very large files.</w:t>
            </w:r>
          </w:p>
        </w:tc>
      </w:tr>
    </w:tbl>
    <w:p>
      <w:pPr>
        <w:pStyle w:val="Heading2"/>
      </w:pPr>
      <w:r>
        <w:t>Reading the status bar</w:t>
      </w:r>
    </w:p>
    <w:p>
      <w:r>
        <w:t>The bar at the bottom is the audit trail for the run. A green dot with a message such as "Done in 7 ms - unpacked 1 eval layer, escapes x12, bracket-to-dot x8" tells you precisely what changed. If it instead says "no obfuscation patterns matched, formatted only", the tool found nothing it recognised and merely reformatted the input, which is itself a useful finding: the sample is using a technique from section 7.</w:t>
      </w:r>
    </w:p>
    <w:p>
      <w:pPr>
        <w:pStyle w:val="Heading1"/>
      </w:pPr>
      <w:r>
        <w:t>6. Safety model</w:t>
      </w:r>
    </w:p>
    <w:p>
      <w:r>
        <w:t>Unpacking requires actually running the packer's own unwrapping function, so a small amount of sample-controlled code does execute inside the browser tab. That is worth understanding rather than glossing over.</w:t>
      </w:r>
    </w:p>
    <w:p>
      <w:pPr>
        <w:pStyle w:val="Heading3"/>
      </w:pPr>
      <w:r>
        <w:t>What limits the risk</w:t>
      </w:r>
    </w:p>
    <w:p>
      <w:pPr>
        <w:pStyle w:val="ListParagraph"/>
        <w:numPr>
          <w:ilvl w:val="0"/>
          <w:numId w:val="1"/>
        </w:numPr>
      </w:pPr>
      <w:r>
        <w:t>Code is only evaluated when it matches the known packer signature function(p, a, c, k, e, d). Arbitrary eval contents are never run.</w:t>
      </w:r>
    </w:p>
    <w:p>
      <w:pPr>
        <w:pStyle w:val="ListParagraph"/>
        <w:numPr>
          <w:ilvl w:val="0"/>
          <w:numId w:val="1"/>
        </w:numPr>
      </w:pPr>
      <w:r>
        <w:t>Only the unwrapping function runs. Its result is captured as text and never executed.</w:t>
      </w:r>
    </w:p>
    <w:p>
      <w:pPr>
        <w:pStyle w:val="ListParagraph"/>
        <w:numPr>
          <w:ilvl w:val="0"/>
          <w:numId w:val="1"/>
        </w:numPr>
      </w:pPr>
      <w:r>
        <w:t>The page has no network code of its own: it cannot send your sample anywhere.</w:t>
      </w:r>
    </w:p>
    <w:p>
      <w:pPr>
        <w:pStyle w:val="Heading3"/>
      </w:pPr>
      <w:r>
        <w:t>Handling rules for live malware</w:t>
      </w:r>
    </w:p>
    <w:p>
      <w:pPr>
        <w:pStyle w:val="ListParagraph"/>
        <w:numPr>
          <w:ilvl w:val="0"/>
          <w:numId w:val="1"/>
        </w:numPr>
      </w:pPr>
      <w:r>
        <w:t>Use a throwaway browser profile with no saved logins, ideally in a VM or a container.</w:t>
      </w:r>
    </w:p>
    <w:p>
      <w:pPr>
        <w:pStyle w:val="ListParagraph"/>
        <w:numPr>
          <w:ilvl w:val="0"/>
          <w:numId w:val="1"/>
        </w:numPr>
      </w:pPr>
      <w:r>
        <w:t>Do not open the tool in the same browser profile you use for client portals, email, or cloud consoles.</w:t>
      </w:r>
    </w:p>
    <w:p>
      <w:pPr>
        <w:pStyle w:val="ListParagraph"/>
        <w:numPr>
          <w:ilvl w:val="0"/>
          <w:numId w:val="1"/>
        </w:numPr>
      </w:pPr>
      <w:r>
        <w:t>If a sample is high risk, turn the unpack toggle off first, read the wrapper by hand, and decide deliberately.</w:t>
      </w:r>
    </w:p>
    <w:p>
      <w:pPr>
        <w:pStyle w:val="ListParagraph"/>
        <w:numPr>
          <w:ilvl w:val="0"/>
          <w:numId w:val="1"/>
        </w:numPr>
      </w:pPr>
      <w:r>
        <w:t>Never paste recovered code into a browser console to "see what it does". Read it.</w:t>
      </w:r>
    </w:p>
    <w:p>
      <w:pPr>
        <w:pStyle w:val="Heading1"/>
      </w:pPr>
      <w:r>
        <w:t>7. Limitations and when to escalate</w:t>
      </w:r>
    </w:p>
    <w:p>
      <w:r>
        <w:t>The tool works on the token stream, not on a full syntax tree, so it undoes mechanical encodings rather than reasoning about program behaviour. Know where the boundary sits.</w:t>
      </w:r>
    </w:p>
    <w:tbl>
      <w:tblPr>
        <w:tblW w:w="10080" w:type="dxa"/>
        <w:tblBorders>
          <w:top w:val="single" w:sz="6" w:color="D2DAE4"/>
          <w:left w:val="single" w:sz="6" w:color="D2DAE4"/>
          <w:bottom w:val="single" w:sz="6" w:color="D2DAE4"/>
          <w:right w:val="single" w:sz="6" w:color="D2DAE4"/>
          <w:insideH w:val="single" w:sz="6" w:color="E3E9F0"/>
          <w:insideV w:val="single" w:sz="6" w:color="E3E9F0"/>
        </w:tblBorders>
        <w:tblCellMar>
          <w:top w:w="60" w:type="dxa"/>
          <w:left w:w="110" w:type="dxa"/>
          <w:bottom w:w="60" w:type="dxa"/>
          <w:right w:w="110" w:type="dxa"/>
        </w:tblCellMar>
      </w:tblPr>
      <w:tblGrid>
        <w:gridCol w:w="2900"/>
        <w:gridCol w:w="4180"/>
        <w:gridCol w:w="3000"/>
      </w:tblGrid>
      <w:tr>
        <w:trPr>
          <w:tblHeader/>
        </w:trPr>
        <w:tc>
          <w:tcPr>
            <w:tcW w:w="2900" w:type="dxa"/>
            <w:shd w:val="clear" w:color="auto" w:fill="EAF1FE"/>
          </w:tcPr>
          <w:p>
            <w:pPr>
              <w:pStyle w:val="TableHead"/>
            </w:pPr>
            <w:r>
              <w:t>Technique</w:t>
            </w:r>
          </w:p>
        </w:tc>
        <w:tc>
          <w:tcPr>
            <w:tcW w:w="4180" w:type="dxa"/>
            <w:shd w:val="clear" w:color="auto" w:fill="EAF1FE"/>
          </w:tcPr>
          <w:p>
            <w:pPr>
              <w:pStyle w:val="TableHead"/>
            </w:pPr>
            <w:r>
              <w:t>How to recognise it</w:t>
            </w:r>
          </w:p>
        </w:tc>
        <w:tc>
          <w:tcPr>
            <w:tcW w:w="3000" w:type="dxa"/>
            <w:shd w:val="clear" w:color="auto" w:fill="EAF1FE"/>
          </w:tcPr>
          <w:p>
            <w:pPr>
              <w:pStyle w:val="TableHead"/>
            </w:pPr>
            <w:r>
              <w:t>Status</w:t>
            </w:r>
          </w:p>
        </w:tc>
      </w:tr>
      <w:tr>
        <w:tc>
          <w:tcPr>
            <w:tcW w:w="2900" w:type="dxa"/>
          </w:tcPr>
          <w:p>
            <w:pPr>
              <w:pStyle w:val="TableCell"/>
            </w:pPr>
            <w:r>
              <w:t>Packer wrappers</w:t>
            </w:r>
          </w:p>
        </w:tc>
        <w:tc>
          <w:tcPr>
            <w:tcW w:w="4180" w:type="dxa"/>
          </w:tcPr>
          <w:p>
            <w:pPr>
              <w:pStyle w:val="TableCell"/>
            </w:pPr>
            <w:r>
              <w:t>eval(function(p,a,c,k,e,d) at the start</w:t>
            </w:r>
          </w:p>
        </w:tc>
        <w:tc>
          <w:tcPr>
            <w:tcW w:w="3000" w:type="dxa"/>
          </w:tcPr>
          <w:p>
            <w:pPr>
              <w:pStyle w:val="TableCell"/>
            </w:pPr>
            <w:r>
              <w:t>Fully handled, including nesting</w:t>
            </w:r>
          </w:p>
        </w:tc>
      </w:tr>
      <w:tr>
        <w:tc>
          <w:tcPr>
            <w:tcW w:w="2900" w:type="dxa"/>
          </w:tcPr>
          <w:p>
            <w:pPr>
              <w:pStyle w:val="TableCell"/>
            </w:pPr>
            <w:r>
              <w:t>Hex / unicode / charcode strings</w:t>
            </w:r>
          </w:p>
        </w:tc>
        <w:tc>
          <w:tcPr>
            <w:tcW w:w="4180" w:type="dxa"/>
          </w:tcPr>
          <w:p>
            <w:pPr>
              <w:pStyle w:val="TableCell"/>
            </w:pPr>
            <w:r>
              <w:t>Long runs of \x or numeric lists</w:t>
            </w:r>
          </w:p>
        </w:tc>
        <w:tc>
          <w:tcPr>
            <w:tcW w:w="3000" w:type="dxa"/>
          </w:tcPr>
          <w:p>
            <w:pPr>
              <w:pStyle w:val="TableCell"/>
            </w:pPr>
            <w:r>
              <w:t>Fully handled</w:t>
            </w:r>
          </w:p>
        </w:tc>
      </w:tr>
      <w:tr>
        <w:tc>
          <w:tcPr>
            <w:tcW w:w="2900" w:type="dxa"/>
          </w:tcPr>
          <w:p>
            <w:pPr>
              <w:pStyle w:val="TableCell"/>
            </w:pPr>
            <w:r>
              <w:t>Minified but not obfuscated</w:t>
            </w:r>
          </w:p>
        </w:tc>
        <w:tc>
          <w:tcPr>
            <w:tcW w:w="4180" w:type="dxa"/>
          </w:tcPr>
          <w:p>
            <w:pPr>
              <w:pStyle w:val="TableCell"/>
            </w:pPr>
            <w:r>
              <w:t>One long line, short variable names</w:t>
            </w:r>
          </w:p>
        </w:tc>
        <w:tc>
          <w:tcPr>
            <w:tcW w:w="3000" w:type="dxa"/>
          </w:tcPr>
          <w:p>
            <w:pPr>
              <w:pStyle w:val="TableCell"/>
            </w:pPr>
            <w:r>
              <w:t>Reformatted; names stay short</w:t>
            </w:r>
          </w:p>
        </w:tc>
      </w:tr>
      <w:tr>
        <w:tc>
          <w:tcPr>
            <w:tcW w:w="2900" w:type="dxa"/>
          </w:tcPr>
          <w:p>
            <w:pPr>
              <w:pStyle w:val="TableCell"/>
            </w:pPr>
            <w:r>
              <w:t>String array / rotator</w:t>
            </w:r>
          </w:p>
        </w:tc>
        <w:tc>
          <w:tcPr>
            <w:tcW w:w="4180" w:type="dxa"/>
          </w:tcPr>
          <w:p>
            <w:pPr>
              <w:pStyle w:val="TableCell"/>
            </w:pPr>
            <w:r>
              <w:t>A big array at the top plus calls such as _0x4f2a(0x1b3)</w:t>
            </w:r>
          </w:p>
        </w:tc>
        <w:tc>
          <w:tcPr>
            <w:tcW w:w="3000" w:type="dxa"/>
          </w:tcPr>
          <w:p>
            <w:pPr>
              <w:pStyle w:val="TableCell"/>
            </w:pPr>
            <w:r>
              <w:t>Not handled: needs scope analysis</w:t>
            </w:r>
          </w:p>
        </w:tc>
      </w:tr>
      <w:tr>
        <w:tc>
          <w:tcPr>
            <w:tcW w:w="2900" w:type="dxa"/>
          </w:tcPr>
          <w:p>
            <w:pPr>
              <w:pStyle w:val="TableCell"/>
            </w:pPr>
            <w:r>
              <w:t>Control-flow flattening</w:t>
            </w:r>
          </w:p>
        </w:tc>
        <w:tc>
          <w:tcPr>
            <w:tcW w:w="4180" w:type="dxa"/>
          </w:tcPr>
          <w:p>
            <w:pPr>
              <w:pStyle w:val="TableCell"/>
            </w:pPr>
            <w:r>
              <w:t>A while loop wrapped around a big switch with numbered cases</w:t>
            </w:r>
          </w:p>
        </w:tc>
        <w:tc>
          <w:tcPr>
            <w:tcW w:w="3000" w:type="dxa"/>
          </w:tcPr>
          <w:p>
            <w:pPr>
              <w:pStyle w:val="TableCell"/>
            </w:pPr>
            <w:r>
              <w:t>Not handled</w:t>
            </w:r>
          </w:p>
        </w:tc>
      </w:tr>
      <w:tr>
        <w:tc>
          <w:tcPr>
            <w:tcW w:w="2900" w:type="dxa"/>
          </w:tcPr>
          <w:p>
            <w:pPr>
              <w:pStyle w:val="TableCell"/>
            </w:pPr>
            <w:r>
              <w:t>Custom VM / interpreter</w:t>
            </w:r>
          </w:p>
        </w:tc>
        <w:tc>
          <w:tcPr>
            <w:tcW w:w="4180" w:type="dxa"/>
          </w:tcPr>
          <w:p>
            <w:pPr>
              <w:pStyle w:val="TableCell"/>
            </w:pPr>
            <w:r>
              <w:t>Bytecode-like arrays fed to a dispatch loop</w:t>
            </w:r>
          </w:p>
        </w:tc>
        <w:tc>
          <w:tcPr>
            <w:tcW w:w="3000" w:type="dxa"/>
          </w:tcPr>
          <w:p>
            <w:pPr>
              <w:pStyle w:val="TableCell"/>
            </w:pPr>
            <w:r>
              <w:t>Not handled: manual analysis</w:t>
            </w:r>
          </w:p>
        </w:tc>
      </w:tr>
    </w:tbl>
    <w:p>
      <w:r>
        <w:t>For the last three, escalate to a syntax-tree tool such as a Babel-based deobfuscator, or step through the script in browser developer tools. Running this tool first is still worthwhile, because it strips the outer packing and reveals which of these you are facing.</w:t>
      </w:r>
    </w:p>
    <w:p>
      <w:pPr>
        <w:pStyle w:val="Heading1"/>
      </w:pPr>
      <w:r>
        <w:t>8. Troubleshooting</w:t>
      </w:r>
    </w:p>
    <w:tbl>
      <w:tblPr>
        <w:tblW w:w="10080" w:type="dxa"/>
        <w:tblBorders>
          <w:top w:val="single" w:sz="6" w:color="D2DAE4"/>
          <w:left w:val="single" w:sz="6" w:color="D2DAE4"/>
          <w:bottom w:val="single" w:sz="6" w:color="D2DAE4"/>
          <w:right w:val="single" w:sz="6" w:color="D2DAE4"/>
          <w:insideH w:val="single" w:sz="6" w:color="E3E9F0"/>
          <w:insideV w:val="single" w:sz="6" w:color="E3E9F0"/>
        </w:tblBorders>
        <w:tblCellMar>
          <w:top w:w="60" w:type="dxa"/>
          <w:left w:w="110" w:type="dxa"/>
          <w:bottom w:w="60" w:type="dxa"/>
          <w:right w:w="110" w:type="dxa"/>
        </w:tblCellMar>
      </w:tblPr>
      <w:tblGrid>
        <w:gridCol w:w="3400"/>
        <w:gridCol w:w="6680"/>
      </w:tblGrid>
      <w:tr>
        <w:trPr>
          <w:tblHeader/>
        </w:trPr>
        <w:tc>
          <w:tcPr>
            <w:tcW w:w="3400" w:type="dxa"/>
            <w:shd w:val="clear" w:color="auto" w:fill="EAF1FE"/>
          </w:tcPr>
          <w:p>
            <w:pPr>
              <w:pStyle w:val="TableHead"/>
            </w:pPr>
            <w:r>
              <w:t>Symptom</w:t>
            </w:r>
          </w:p>
        </w:tc>
        <w:tc>
          <w:tcPr>
            <w:tcW w:w="6680" w:type="dxa"/>
            <w:shd w:val="clear" w:color="auto" w:fill="EAF1FE"/>
          </w:tcPr>
          <w:p>
            <w:pPr>
              <w:pStyle w:val="TableHead"/>
            </w:pPr>
            <w:r>
              <w:t>Cause and fix</w:t>
            </w:r>
          </w:p>
        </w:tc>
      </w:tr>
      <w:tr>
        <w:tc>
          <w:tcPr>
            <w:tcW w:w="3400" w:type="dxa"/>
          </w:tcPr>
          <w:p>
            <w:pPr>
              <w:pStyle w:val="TableCell"/>
            </w:pPr>
            <w:r>
              <w:t>"No obfuscation patterns matched"</w:t>
            </w:r>
          </w:p>
        </w:tc>
        <w:tc>
          <w:tcPr>
            <w:tcW w:w="6680" w:type="dxa"/>
          </w:tcPr>
          <w:p>
            <w:pPr>
              <w:pStyle w:val="TableCell"/>
            </w:pPr>
            <w:r>
              <w:t>Working as intended. The sample uses a technique from section 7, or is merely minified. The output is still reformatted.</w:t>
            </w:r>
          </w:p>
        </w:tc>
      </w:tr>
      <w:tr>
        <w:tc>
          <w:tcPr>
            <w:tcW w:w="3400" w:type="dxa"/>
          </w:tcPr>
          <w:p>
            <w:pPr>
              <w:pStyle w:val="TableCell"/>
            </w:pPr>
            <w:r>
              <w:t>"Unpacking failed"</w:t>
            </w:r>
          </w:p>
        </w:tc>
        <w:tc>
          <w:tcPr>
            <w:tcW w:w="6680" w:type="dxa"/>
          </w:tcPr>
          <w:p>
            <w:pPr>
              <w:pStyle w:val="TableCell"/>
            </w:pPr>
            <w:r>
              <w:t>Usually a truncated paste. Confirm you copied the entire eval call including the closing parentheses.</w:t>
            </w:r>
          </w:p>
        </w:tc>
      </w:tr>
      <w:tr>
        <w:tc>
          <w:tcPr>
            <w:tcW w:w="3400" w:type="dxa"/>
          </w:tcPr>
          <w:p>
            <w:pPr>
              <w:pStyle w:val="TableCell"/>
            </w:pPr>
            <w:r>
              <w:t>Clipboard copy is blocked</w:t>
            </w:r>
          </w:p>
        </w:tc>
        <w:tc>
          <w:tcPr>
            <w:tcW w:w="6680" w:type="dxa"/>
          </w:tcPr>
          <w:p>
            <w:pPr>
              <w:pStyle w:val="TableCell"/>
            </w:pPr>
            <w:r>
              <w:t>Some browsers restrict clipboard access on local files. Use Download .js, or select the text manually.</w:t>
            </w:r>
          </w:p>
        </w:tc>
      </w:tr>
      <w:tr>
        <w:tc>
          <w:tcPr>
            <w:tcW w:w="3400" w:type="dxa"/>
          </w:tcPr>
          <w:p>
            <w:pPr>
              <w:pStyle w:val="TableCell"/>
            </w:pPr>
            <w:r>
              <w:t>Pane sizes are not remembered</w:t>
            </w:r>
          </w:p>
        </w:tc>
        <w:tc>
          <w:tcPr>
            <w:tcW w:w="6680" w:type="dxa"/>
          </w:tcPr>
          <w:p>
            <w:pPr>
              <w:pStyle w:val="TableCell"/>
            </w:pPr>
            <w:r>
              <w:t>Browser storage is disabled for local files in that browser. Everything else still works.</w:t>
            </w:r>
          </w:p>
        </w:tc>
      </w:tr>
      <w:tr>
        <w:tc>
          <w:tcPr>
            <w:tcW w:w="3400" w:type="dxa"/>
          </w:tcPr>
          <w:p>
            <w:pPr>
              <w:pStyle w:val="TableCell"/>
            </w:pPr>
            <w:r>
              <w:t>Output looks wrong or mangled</w:t>
            </w:r>
          </w:p>
        </w:tc>
        <w:tc>
          <w:tcPr>
            <w:tcW w:w="6680" w:type="dxa"/>
          </w:tcPr>
          <w:p>
            <w:pPr>
              <w:pStyle w:val="TableCell"/>
            </w:pPr>
            <w:r>
              <w:t>Switch stages off one at a time to isolate the culprit, then report which toggle caused it along with the input.</w:t>
            </w:r>
          </w:p>
        </w:tc>
      </w:tr>
      <w:tr>
        <w:tc>
          <w:tcPr>
            <w:tcW w:w="3400" w:type="dxa"/>
          </w:tcPr>
          <w:p>
            <w:pPr>
              <w:pStyle w:val="TableCell"/>
            </w:pPr>
            <w:r>
              <w:t>Very large file feels slow</w:t>
            </w:r>
          </w:p>
        </w:tc>
        <w:tc>
          <w:tcPr>
            <w:tcW w:w="6680" w:type="dxa"/>
          </w:tcPr>
          <w:p>
            <w:pPr>
              <w:pStyle w:val="TableCell"/>
            </w:pPr>
            <w:r>
              <w:t>Turn off syntax highlighting. Colouring is the most expensive part on multi-megabyte input.</w:t>
            </w:r>
          </w:p>
        </w:tc>
      </w:tr>
    </w:tbl>
    <w:p>
      <w:pPr>
        <w:pStyle w:val="Heading1"/>
      </w:pPr>
      <w:r>
        <w:t>9. Files and customisation</w:t>
      </w:r>
    </w:p>
    <w:p>
      <w:pPr>
        <w:pStyle w:val="ListParagraph"/>
        <w:numPr>
          <w:ilvl w:val="0"/>
          <w:numId w:val="1"/>
        </w:numPr>
      </w:pPr>
      <w:r>
        <w:rPr>
          <w:rStyle w:val="CodeChar"/>
        </w:rPr>
        <w:t>js-deobfuscator.html</w:t>
      </w:r>
      <w:r>
        <w:t xml:space="preserve"> is the entire application: markup, styling, and logic in one file. Copy it anywhere; it has no dependencies.</w:t>
      </w:r>
    </w:p>
    <w:p>
      <w:pPr>
        <w:pStyle w:val="ListParagraph"/>
        <w:numPr>
          <w:ilvl w:val="0"/>
          <w:numId w:val="1"/>
        </w:numPr>
      </w:pPr>
      <w:r>
        <w:rPr>
          <w:rStyle w:val="CodeChar"/>
        </w:rPr>
        <w:t>icon.png</w:t>
      </w:r>
      <w:r>
        <w:t xml:space="preserve"> is optional. If it sits beside the HTML it becomes the header badge and browser tab icon; otherwise a smaller copy embedded in the file is used. You can also drag any image onto the badge to change it, or Alt+click the badge to reset.</w:t>
      </w:r>
    </w:p>
    <w:p>
      <w:pPr>
        <w:pStyle w:val="ListParagraph"/>
        <w:numPr>
          <w:ilvl w:val="0"/>
          <w:numId w:val="1"/>
        </w:numPr>
      </w:pPr>
      <w:r>
        <w:t>The transformation logic sits between the CORE-START and CORE-END markers in the file, if you want to add a stage of your own.</w:t>
      </w:r>
    </w:p>
    <w:p>
      <w:pPr>
        <w:pStyle w:val="Heading1"/>
      </w:pPr>
      <w:r>
        <w:t>Appendix: glossary</w:t>
      </w:r>
    </w:p>
    <w:p>
      <w:r>
        <w:rPr>
          <w:b/>
        </w:rPr>
        <w:t xml:space="preserve">Obfuscation. </w:t>
      </w:r>
      <w:r>
        <w:t>Deliberately making working code hard for a person to read, while keeping it valid for the machine.</w:t>
      </w:r>
    </w:p>
    <w:p>
      <w:r>
        <w:rPr>
          <w:b/>
        </w:rPr>
        <w:t xml:space="preserve">Minification. </w:t>
      </w:r>
      <w:r>
        <w:t>Shrinking code by removing spaces and shortening names. Side effect is unreadability; the intent is only size.</w:t>
      </w:r>
    </w:p>
    <w:p>
      <w:r>
        <w:rPr>
          <w:b/>
        </w:rPr>
        <w:t xml:space="preserve">Packer. </w:t>
      </w:r>
      <w:r>
        <w:t>A wrapper that stores the program as a template plus a dictionary of words, and rebuilds it at run time.</w:t>
      </w:r>
    </w:p>
    <w:p>
      <w:r>
        <w:rPr>
          <w:b/>
        </w:rPr>
        <w:t xml:space="preserve">eval. </w:t>
      </w:r>
      <w:r>
        <w:t>A JavaScript function that runs a string as code. It is what lets a packed script come back to life in a browser.</w:t>
      </w:r>
    </w:p>
    <w:p>
      <w:r>
        <w:rPr>
          <w:b/>
        </w:rPr>
        <w:t xml:space="preserve">Token. </w:t>
      </w:r>
      <w:r>
        <w:t>One meaningful unit of code: a name, a number, a string, a piece of punctuation. Reading code as tokens is what keeps the tool from editing text inside strings by mistake.</w:t>
      </w:r>
    </w:p>
    <w:p>
      <w:r>
        <w:rPr>
          <w:b/>
        </w:rPr>
        <w:t xml:space="preserve">Syntax tree. </w:t>
      </w:r>
      <w:r>
        <w:t>A structural map of a program. Tools that build one can reason about variables and scope; this tool intentionally stops short of that.</w:t>
      </w:r>
    </w:p>
    <w:sectPr>
      <w:footerReference w:type="default" r:id="rId3"/>
      <w:pgSz w:w="12240" w:h="15840"/>
      <w:pgMar w:top="1300" w:right="1080" w:bottom="1300" w:left="1080" w:header="720" w:footer="620" w:gutter="0"/>
      <w:cols w:space="720"/>
      <w:docGrid w:linePitch="360"/>
    </w:sectPr>
  </w:body>
</w:document>
</file>

<file path=word/footer1.xml><?xml version="1.0" encoding="utf-8"?>
<w:ftr xmlns:w="http://schemas.openxmlformats.org/wordprocessingml/2006/main">
  <w:p>
    <w:pPr>
      <w:pStyle w:val="Footer"/>
      <w:pBdr>
        <w:top w:val="single" w:sz="6" w:space="6" w:color="D2DAE4"/>
      </w:pBdr>
      <w:tabs>
        <w:tab w:val="right" w:pos="10080"/>
      </w:tabs>
    </w:pPr>
    <w:r>
      <w:t xml:space="preserve">JS Duckfuscator - Technical Runbook</w:t>
    </w:r>
    <w:r>
      <w:tab/>
      <w:t xml:space="preserve">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20" w:hanging="280"/>
      </w:pPr>
      <w:rPr>
        <w:rFonts w:ascii="Calibri" w:hAnsi="Calibri" w:hint="default"/>
        <w:color w:val="1352CC"/>
      </w:rPr>
    </w:lvl>
    <w:lvl w:ilvl="1">
      <w:start w:val="1"/>
      <w:numFmt w:val="bullet"/>
      <w:lvlText w:val="◦"/>
      <w:lvlJc w:val="left"/>
      <w:pPr>
        <w:ind w:left="840" w:hanging="280"/>
      </w:pPr>
      <w:rPr>
        <w:rFonts w:ascii="Calibri" w:hAnsi="Calibri" w:hint="default"/>
        <w:color w:val="6B7684"/>
      </w:rPr>
    </w:lvl>
  </w:abstractNum>
  <w:abstractNum w:abstractNumId="1">
    <w:multiLevelType w:val="hybridMultilevel"/>
    <w:lvl w:ilvl="0">
      <w:start w:val="1"/>
      <w:numFmt w:val="decimal"/>
      <w:lvlText w:val="%1."/>
      <w:lvlJc w:val="left"/>
      <w:pPr>
        <w:ind w:left="420" w:hanging="300"/>
      </w:pPr>
      <w:rPr>
        <w:b/>
        <w:color w:val="1352CC"/>
      </w:r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color w:val="1B1F27"/>
      </w:rPr>
    </w:rPrDefault>
    <w:pPrDefault>
      <w:pPr>
        <w:spacing w:after="140" w:line="276"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Title">
    <w:name w:val="Title"/>
    <w:basedOn w:val="Normal"/>
    <w:qFormat/>
    <w:pPr>
      <w:spacing w:after="60"/>
    </w:pPr>
    <w:rPr>
      <w:rFonts w:ascii="Calibri" w:hAnsi="Calibri"/>
      <w:b/>
      <w:sz w:val="56"/>
      <w:color w:val="1352CC"/>
    </w:rPr>
  </w:style>
  <w:style w:type="paragraph" w:styleId="Subtitle">
    <w:name w:val="Subtitle"/>
    <w:basedOn w:val="Normal"/>
    <w:qFormat/>
    <w:pPr>
      <w:spacing w:after="60"/>
    </w:pPr>
    <w:rPr>
      <w:sz w:val="26"/>
      <w:color w:val="4A5464"/>
    </w:rPr>
  </w:style>
  <w:style w:type="paragraph" w:styleId="DocMeta">
    <w:name w:val="Doc Meta"/>
    <w:basedOn w:val="Normal"/>
    <w:qFormat/>
    <w:pPr>
      <w:pBdr>
        <w:bottom w:val="single" w:sz="8" w:space="6" w:color="D2DAE4"/>
      </w:pBdr>
      <w:spacing w:after="320"/>
    </w:pPr>
    <w:rPr>
      <w:sz w:val="19"/>
      <w:color w:val="6B7684"/>
    </w:rPr>
  </w:style>
  <w:style w:type="paragraph" w:styleId="Heading1">
    <w:name w:val="heading 1"/>
    <w:basedOn w:val="Normal"/>
    <w:next w:val="Normal"/>
    <w:qFormat/>
    <w:pPr>
      <w:keepNext/>
      <w:outlineLvl w:val="0"/>
      <w:spacing w:before="400" w:after="140"/>
      <w:pBdr>
        <w:bottom w:val="single" w:sz="6" w:space="4" w:color="D2DAE4"/>
      </w:pBdr>
    </w:pPr>
    <w:rPr>
      <w:b/>
      <w:sz w:val="32"/>
      <w:color w:val="0B3FA3"/>
    </w:rPr>
  </w:style>
  <w:style w:type="paragraph" w:styleId="Heading2">
    <w:name w:val="heading 2"/>
    <w:basedOn w:val="Normal"/>
    <w:next w:val="Normal"/>
    <w:qFormat/>
    <w:pPr>
      <w:keepNext/>
      <w:outlineLvl w:val="1"/>
      <w:spacing w:before="280" w:after="100"/>
    </w:pPr>
    <w:rPr>
      <w:b/>
      <w:sz w:val="26"/>
      <w:color w:val="1352CC"/>
    </w:rPr>
  </w:style>
  <w:style w:type="paragraph" w:styleId="Heading3">
    <w:name w:val="heading 3"/>
    <w:basedOn w:val="Normal"/>
    <w:next w:val="Normal"/>
    <w:qFormat/>
    <w:pPr>
      <w:keepNext/>
      <w:outlineLvl w:val="2"/>
      <w:spacing w:before="200" w:after="80"/>
    </w:pPr>
    <w:rPr>
      <w:b/>
      <w:sz w:val="23"/>
      <w:color w:val="2E3743"/>
    </w:rPr>
  </w:style>
  <w:style w:type="paragraph" w:styleId="Code">
    <w:name w:val="Code Block"/>
    <w:basedOn w:val="Normal"/>
    <w:qFormat/>
    <w:pPr>
      <w:shd w:val="clear" w:color="auto" w:fill="F2F5F9"/>
      <w:pBdr>
        <w:left w:val="single" w:sz="18" w:space="6" w:color="1352CC"/>
      </w:pBdr>
      <w:spacing w:before="60" w:after="60" w:line="240" w:lineRule="auto"/>
      <w:ind w:left="120"/>
    </w:pPr>
    <w:rPr>
      <w:rFonts w:ascii="Consolas" w:hAnsi="Consolas" w:cs="Consolas"/>
      <w:sz w:val="18"/>
      <w:color w:val="16202B"/>
    </w:rPr>
  </w:style>
  <w:style w:type="character" w:styleId="CodeChar">
    <w:name w:val="Code Inline"/>
    <w:qFormat/>
    <w:rPr>
      <w:rFonts w:ascii="Consolas" w:hAnsi="Consolas" w:cs="Consolas"/>
      <w:sz w:val="19"/>
      <w:color w:val="0A4A8F"/>
      <w:shd w:val="clear" w:color="auto" w:fill="F2F5F9"/>
    </w:rPr>
  </w:style>
  <w:style w:type="paragraph" w:styleId="Callout">
    <w:name w:val="Callout"/>
    <w:basedOn w:val="Normal"/>
    <w:qFormat/>
    <w:pPr>
      <w:shd w:val="clear" w:color="auto" w:fill="FFF6E5"/>
      <w:pBdr>
        <w:left w:val="single" w:sz="18" w:space="6" w:color="B45309"/>
      </w:pBdr>
      <w:spacing w:before="120" w:after="140"/>
      <w:ind w:left="120" w:right="120"/>
    </w:pPr>
  </w:style>
  <w:style w:type="paragraph" w:styleId="ListParagraph">
    <w:name w:val="List Paragraph"/>
    <w:basedOn w:val="Normal"/>
    <w:qFormat/>
    <w:pPr>
      <w:spacing w:after="60"/>
      <w:contextualSpacing/>
    </w:pPr>
  </w:style>
  <w:style w:type="paragraph" w:styleId="TableCell">
    <w:name w:val="Table Cell"/>
    <w:basedOn w:val="Normal"/>
    <w:qFormat/>
    <w:pPr>
      <w:spacing w:before="40" w:after="40" w:line="240" w:lineRule="auto"/>
    </w:pPr>
    <w:rPr>
      <w:sz w:val="20"/>
    </w:rPr>
  </w:style>
  <w:style w:type="paragraph" w:styleId="TableHead">
    <w:name w:val="Table Head"/>
    <w:basedOn w:val="TableCell"/>
    <w:qFormat/>
    <w:rPr>
      <w:b/>
      <w:sz w:val="20"/>
      <w:color w:val="0B3FA3"/>
    </w:rPr>
  </w:style>
  <w:style w:type="paragraph" w:styleId="Footer">
    <w:name w:val="footer"/>
    <w:basedOn w:val="Normal"/>
    <w:pPr>
      <w:spacing w:after="0"/>
    </w:pPr>
    <w:rPr>
      <w:sz w:val="17"/>
      <w:color w:val="6B768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JS Duckfuscator Docs</Application>
  <DocSecurity>0</DocSecurity>
  <ScaleCrop>false</ScaleCrop>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JS Duckfuscator - Technical Runbook</dc:title>
  <dc:subject>How the local JavaScript deobfuscation tool works</dc:subject>
  <cp:keywords>javascript; deobfuscation; packer; runbook; security</cp:keywords>
  <dcterms:created xsi:type="dcterms:W3CDTF">2026-09-03T00:00:00Z</dcterms:created>
  <dcterms:modified xsi:type="dcterms:W3CDTF">2026-09-03T00:00:00Z</dcterms:modified>
</cp:coreProperties>
</file>