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3864"/>
          <w:sz w:val="34"/>
          <w:szCs w:val="34"/>
        </w:rPr>
        <w:t xml:space="preserve">Decision Making Using Financial Statements</w:t>
      </w:r>
    </w:p>
    <w:p>
      <w:pPr>
        <w:spacing w:after="40"/>
      </w:pPr>
      <w:r>
        <w:rPr>
          <w:rFonts w:ascii="Calibri" w:cs="Calibri" w:eastAsia="Calibri" w:hAnsi="Calibri"/>
          <w:color w:val="404040"/>
          <w:sz w:val="22"/>
          <w:szCs w:val="22"/>
        </w:rPr>
        <w:t xml:space="preserve">Ratio, industry and statistical analysis of ten listed Indian logistics companies, FY2020-FY2026</w:t>
      </w:r>
    </w:p>
    <w:p>
      <w:pPr>
        <w:pBdr>
          <w:bottom w:val="single" w:color="1F3864" w:sz="8" w:space="4"/>
        </w:pBdr>
        <w:spacing w:after="120"/>
      </w:pPr>
      <w:r>
        <w:rPr>
          <w:rFonts w:ascii="Calibri" w:cs="Calibri" w:eastAsia="Calibri" w:hAnsi="Calibri"/>
          <w:i/>
          <w:iCs/>
          <w:color w:val="595959"/>
          <w:sz w:val="16"/>
          <w:szCs w:val="16"/>
        </w:rPr>
        <w:t xml:space="preserve">Group project report  |  Submission: 25 October 2026  |  Companion files: Excel workings (Logistics_Ratio_Analysis_Workings.xlsx) and Bibliography of annual reports</w:t>
      </w:r>
    </w:p>
    <w:p>
      <w:pPr>
        <w:pStyle w:val="Heading2"/>
        <w:keepNext/>
        <w:spacing w:after="40" w:before="100"/>
      </w:pPr>
      <w:r>
        <w:rPr>
          <w:rFonts w:ascii="Calibri" w:cs="Calibri" w:eastAsia="Calibri" w:hAnsi="Calibri"/>
          <w:b/>
          <w:bCs/>
          <w:color w:val="2F5496"/>
          <w:sz w:val="21"/>
          <w:szCs w:val="21"/>
        </w:rPr>
        <w:t xml:space="preserve">Key findings</w:t>
      </w:r>
    </w:p>
    <w:p>
      <w:pPr>
        <w:pStyle w:val="ListParagraph"/>
        <w:numPr>
          <w:ilvl w:val="0"/>
          <w:numId w:val="2"/>
        </w:numPr>
        <w:spacing w:after="40" w:line="252"/>
        <w:jc w:val="both"/>
      </w:pPr>
      <w:r>
        <w:rPr>
          <w:rFonts w:ascii="Calibri" w:cs="Calibri" w:eastAsia="Calibri" w:hAnsi="Calibri"/>
          <w:b/>
          <w:bCs/>
          <w:sz w:val="20"/>
          <w:szCs w:val="20"/>
        </w:rPr>
        <w:t xml:space="preserve">One operating model, different value propositions.</w:t>
      </w:r>
      <w:r>
        <w:rPr>
          <w:rFonts w:ascii="Calibri" w:cs="Calibri" w:eastAsia="Calibri" w:hAnsi="Calibri"/>
          <w:sz w:val="20"/>
          <w:szCs w:val="20"/>
        </w:rPr>
        <w:t xml:space="preserve"> The ten firms share the same economics: direct operating costs absorb a median 80.9% of sales, inventory is negligible, and working capital is driven by receivables. They differ mainly in how much capacity they own.</w:t>
      </w:r>
    </w:p>
    <w:p>
      <w:pPr>
        <w:pStyle w:val="ListParagraph"/>
        <w:numPr>
          <w:ilvl w:val="0"/>
          <w:numId w:val="2"/>
        </w:numPr>
        <w:spacing w:after="40" w:line="252"/>
        <w:jc w:val="both"/>
      </w:pPr>
      <w:r>
        <w:rPr>
          <w:rFonts w:ascii="Calibri" w:cs="Calibri" w:eastAsia="Calibri" w:hAnsi="Calibri"/>
          <w:b/>
          <w:bCs/>
          <w:sz w:val="20"/>
          <w:szCs w:val="20"/>
        </w:rPr>
        <w:t xml:space="preserve">The industry is financially healthier than in FY20.</w:t>
      </w:r>
      <w:r>
        <w:rPr>
          <w:rFonts w:ascii="Calibri" w:cs="Calibri" w:eastAsia="Calibri" w:hAnsi="Calibri"/>
          <w:sz w:val="20"/>
          <w:szCs w:val="20"/>
        </w:rPr>
        <w:t xml:space="preserve"> Current ratio 1.56x to 2.44x, interest cover 3.50x to 7.36x, debt-equity 0.29x to 0.23x, median operating margin 5.8% to 8.0%. Cash conversion, however, weakened (CFO/CL 0.82x to 0.63x).</w:t>
      </w:r>
    </w:p>
    <w:p>
      <w:pPr>
        <w:pStyle w:val="ListParagraph"/>
        <w:numPr>
          <w:ilvl w:val="0"/>
          <w:numId w:val="2"/>
        </w:numPr>
        <w:spacing w:after="40" w:line="252"/>
        <w:jc w:val="both"/>
      </w:pPr>
      <w:r>
        <w:rPr>
          <w:rFonts w:ascii="Calibri" w:cs="Calibri" w:eastAsia="Calibri" w:hAnsi="Calibri"/>
          <w:b/>
          <w:bCs/>
          <w:sz w:val="20"/>
          <w:szCs w:val="20"/>
        </w:rPr>
        <w:t xml:space="preserve">Business model sets margin and turnover; returns converge.</w:t>
      </w:r>
      <w:r>
        <w:rPr>
          <w:rFonts w:ascii="Calibri" w:cs="Calibri" w:eastAsia="Calibri" w:hAnsi="Calibri"/>
          <w:sz w:val="20"/>
          <w:szCs w:val="20"/>
        </w:rPr>
        <w:t xml:space="preserve"> Margins are firm-specific (ANOVA F = 53), asset-light and asset-heavy firms earn statistically similar ROCE (p = 0.201), and turnover, margin and leverage explain 61% of ROCE. Size does not matter.</w:t>
      </w:r>
    </w:p>
    <w:p>
      <w:pPr>
        <w:pStyle w:val="ListParagraph"/>
        <w:numPr>
          <w:ilvl w:val="0"/>
          <w:numId w:val="2"/>
        </w:numPr>
        <w:spacing w:after="40" w:line="252"/>
        <w:jc w:val="both"/>
      </w:pPr>
      <w:r>
        <w:rPr>
          <w:rFonts w:ascii="Calibri" w:cs="Calibri" w:eastAsia="Calibri" w:hAnsi="Calibri"/>
          <w:b/>
          <w:bCs/>
          <w:sz w:val="20"/>
          <w:szCs w:val="20"/>
        </w:rPr>
        <w:t xml:space="preserve">Leaders and laggards.</w:t>
      </w:r>
      <w:r>
        <w:rPr>
          <w:rFonts w:ascii="Calibri" w:cs="Calibri" w:eastAsia="Calibri" w:hAnsi="Calibri"/>
          <w:sz w:val="20"/>
          <w:szCs w:val="20"/>
        </w:rPr>
        <w:t xml:space="preserve"> TCI (ROCE 18.2%, debt-equity 0.12x) and CONCOR (net cash, 21.5% operating margin) lead. Mahindra Logistics and Allcargo (interest cover below 1.5x) and Sical (debt-equity 3.69x) lag.</w:t>
      </w:r>
    </w:p>
    <w:p>
      <w:pPr>
        <w:pStyle w:val="ListParagraph"/>
        <w:numPr>
          <w:ilvl w:val="0"/>
          <w:numId w:val="2"/>
        </w:numPr>
        <w:spacing w:after="40" w:line="252"/>
        <w:jc w:val="both"/>
      </w:pPr>
      <w:r>
        <w:rPr>
          <w:rFonts w:ascii="Calibri" w:cs="Calibri" w:eastAsia="Calibri" w:hAnsi="Calibri"/>
          <w:b/>
          <w:bCs/>
          <w:sz w:val="20"/>
          <w:szCs w:val="20"/>
        </w:rPr>
        <w:t xml:space="preserve">Decision.</w:t>
      </w:r>
      <w:r>
        <w:rPr>
          <w:rFonts w:ascii="Calibri" w:cs="Calibri" w:eastAsia="Calibri" w:hAnsi="Calibri"/>
          <w:sz w:val="20"/>
          <w:szCs w:val="20"/>
        </w:rPr>
        <w:t xml:space="preserve"> Invest in TCI; hold CONCOR for income; Patel and Tiger are value candidates; lend cautiously to Allcargo and Mahindra Logistics; avoid Sical except on a secured basis.</w:t>
      </w:r>
    </w:p>
    <w:p>
      <w:pPr>
        <w:pStyle w:val="Heading1"/>
        <w:keepNext/>
        <w:spacing w:after="60" w:before="160"/>
      </w:pPr>
      <w:r>
        <w:rPr>
          <w:rFonts w:ascii="Calibri" w:cs="Calibri" w:eastAsia="Calibri" w:hAnsi="Calibri"/>
          <w:b/>
          <w:bCs/>
          <w:color w:val="1F3864"/>
          <w:sz w:val="24"/>
          <w:szCs w:val="24"/>
        </w:rPr>
        <w:t xml:space="preserve">1. Introduction and scope</w:t>
      </w:r>
    </w:p>
    <w:p>
      <w:pPr>
        <w:spacing w:after="80" w:line="252"/>
        <w:jc w:val="both"/>
      </w:pPr>
      <w:r>
        <w:rPr>
          <w:rFonts w:ascii="Calibri" w:cs="Calibri" w:eastAsia="Calibri" w:hAnsi="Calibri"/>
          <w:sz w:val="20"/>
          <w:szCs w:val="20"/>
        </w:rPr>
        <w:t xml:space="preserve">This report analyses ten companies listed on the NSE and/or BSE that operate in Indian logistics and freight transport. We use their profit and loss statements, balance sheets and cash flow statements for the seven financial years FY2020-FY2026 (April-March; FY2019 is used only as the opening balance for averages). As the brief requires, </w:t>
      </w:r>
      <w:r>
        <w:rPr>
          <w:rFonts w:ascii="Calibri" w:cs="Calibri" w:eastAsia="Calibri" w:hAnsi="Calibri"/>
          <w:b/>
          <w:bCs/>
          <w:sz w:val="20"/>
          <w:szCs w:val="20"/>
        </w:rPr>
        <w:t xml:space="preserve">we assume that these ten firms are the entire industry</w:t>
      </w:r>
      <w:r>
        <w:rPr>
          <w:rFonts w:ascii="Calibri" w:cs="Calibri" w:eastAsia="Calibri" w:hAnsi="Calibri"/>
          <w:sz w:val="20"/>
          <w:szCs w:val="20"/>
        </w:rPr>
        <w:t xml:space="preserve">: every "industry ratio" below is computed only from these ten companies, and no external benchmark is used. We compute 76 ratios per firm-year, covering liquidity, leverage, turnover, profitability and valuation plus the DuPont, growth, common-size and trend techniques. We compare each firm with the industry, track each ratio over the seven years, and test the patterns statistically. All formulas are live in the accompanying Excel workbook. The tables below show the latest year (FY26) and the 7-year average. Every year-by-year value is in the workbook's </w:t>
      </w:r>
      <w:r>
        <w:rPr>
          <w:rFonts w:ascii="Calibri" w:cs="Calibri" w:eastAsia="Calibri" w:hAnsi="Calibri"/>
          <w:i/>
          <w:iCs/>
          <w:sz w:val="20"/>
          <w:szCs w:val="20"/>
        </w:rPr>
        <w:t xml:space="preserve">Industry_Compare</w:t>
      </w:r>
      <w:r>
        <w:rPr>
          <w:rFonts w:ascii="Calibri" w:cs="Calibri" w:eastAsia="Calibri" w:hAnsi="Calibri"/>
          <w:sz w:val="20"/>
          <w:szCs w:val="20"/>
        </w:rPr>
        <w:t xml:space="preserve"> sheet.</w:t>
      </w:r>
    </w:p>
    <w:p>
      <w:pPr>
        <w:pStyle w:val="Heading1"/>
        <w:keepNext/>
        <w:spacing w:after="60" w:before="160"/>
      </w:pPr>
      <w:r>
        <w:rPr>
          <w:rFonts w:ascii="Calibri" w:cs="Calibri" w:eastAsia="Calibri" w:hAnsi="Calibri"/>
          <w:b/>
          <w:bCs/>
          <w:color w:val="1F3864"/>
          <w:sz w:val="24"/>
          <w:szCs w:val="24"/>
        </w:rPr>
        <w:t xml:space="preserve">2. Justification for the choice of industry and firms</w:t>
      </w:r>
    </w:p>
    <w:p>
      <w:pPr>
        <w:pStyle w:val="Heading2"/>
        <w:keepNext/>
        <w:spacing w:after="40" w:before="100"/>
      </w:pPr>
      <w:r>
        <w:rPr>
          <w:rFonts w:ascii="Calibri" w:cs="Calibri" w:eastAsia="Calibri" w:hAnsi="Calibri"/>
          <w:b/>
          <w:bCs/>
          <w:color w:val="2F5496"/>
          <w:sz w:val="21"/>
          <w:szCs w:val="21"/>
        </w:rPr>
        <w:t xml:space="preserve">2.1 Why the logistics industry</w:t>
      </w:r>
    </w:p>
    <w:p>
      <w:pPr>
        <w:spacing w:after="80" w:line="252"/>
        <w:jc w:val="both"/>
      </w:pPr>
      <w:r>
        <w:rPr>
          <w:rFonts w:ascii="Calibri" w:cs="Calibri" w:eastAsia="Calibri" w:hAnsi="Calibri"/>
          <w:sz w:val="20"/>
          <w:szCs w:val="20"/>
        </w:rPr>
        <w:t xml:space="preserve">Ratio comparison is only meaningful when firms generate revenue and incur cost in the same way. Logistics passes this test unusually well. All ten firms sell the same economic service, </w:t>
      </w:r>
      <w:r>
        <w:rPr>
          <w:rFonts w:ascii="Calibri" w:cs="Calibri" w:eastAsia="Calibri" w:hAnsi="Calibri"/>
          <w:b/>
          <w:bCs/>
          <w:sz w:val="20"/>
          <w:szCs w:val="20"/>
        </w:rPr>
        <w:t xml:space="preserve">moving and handling other businesses' goods</w:t>
      </w:r>
      <w:r>
        <w:rPr>
          <w:rFonts w:ascii="Calibri" w:cs="Calibri" w:eastAsia="Calibri" w:hAnsi="Calibri"/>
          <w:sz w:val="20"/>
          <w:szCs w:val="20"/>
        </w:rPr>
        <w:t xml:space="preserve">. They earn revenue as volume multiplied by a freight or handling rate, and spend most of it on buying or running transport capacity (line-haul, hire charges, fuel, terminal handling). The financial statements confirm this common operating engine (Table 1):</w:t>
      </w:r>
    </w:p>
    <w:p>
      <w:pPr>
        <w:pStyle w:val="ListParagraph"/>
        <w:numPr>
          <w:ilvl w:val="0"/>
          <w:numId w:val="2"/>
        </w:numPr>
        <w:spacing w:after="40" w:line="252"/>
        <w:jc w:val="both"/>
      </w:pPr>
      <w:r>
        <w:rPr>
          <w:rFonts w:ascii="Calibri" w:cs="Calibri" w:eastAsia="Calibri" w:hAnsi="Calibri"/>
          <w:b/>
          <w:bCs/>
          <w:sz w:val="20"/>
          <w:szCs w:val="20"/>
        </w:rPr>
        <w:t xml:space="preserve">Cost structure is dominated by direct operating costs.</w:t>
      </w:r>
      <w:r>
        <w:rPr>
          <w:rFonts w:ascii="Calibri" w:cs="Calibri" w:eastAsia="Calibri" w:hAnsi="Calibri"/>
          <w:sz w:val="20"/>
          <w:szCs w:val="20"/>
        </w:rPr>
        <w:t xml:space="preserve"> Direct operating cost (freight, handling, hire, power and fuel) absorbs a median </w:t>
      </w:r>
      <w:r>
        <w:rPr>
          <w:rFonts w:ascii="Calibri" w:cs="Calibri" w:eastAsia="Calibri" w:hAnsi="Calibri"/>
          <w:b/>
          <w:bCs/>
          <w:sz w:val="20"/>
          <w:szCs w:val="20"/>
        </w:rPr>
        <w:t xml:space="preserve">80.9%</w:t>
      </w:r>
      <w:r>
        <w:rPr>
          <w:rFonts w:ascii="Calibri" w:cs="Calibri" w:eastAsia="Calibri" w:hAnsi="Calibri"/>
          <w:sz w:val="20"/>
          <w:szCs w:val="20"/>
        </w:rPr>
        <w:t xml:space="preserve"> of sales (range 57.4% for Blue Dart to 92.5% for Jet Freight). Employee cost is a secondary item (median 5.7%).</w:t>
      </w:r>
    </w:p>
    <w:p>
      <w:pPr>
        <w:pStyle w:val="ListParagraph"/>
        <w:numPr>
          <w:ilvl w:val="0"/>
          <w:numId w:val="2"/>
        </w:numPr>
        <w:spacing w:after="40" w:line="252"/>
        <w:jc w:val="both"/>
      </w:pPr>
      <w:r>
        <w:rPr>
          <w:rFonts w:ascii="Calibri" w:cs="Calibri" w:eastAsia="Calibri" w:hAnsi="Calibri"/>
          <w:b/>
          <w:bCs/>
          <w:sz w:val="20"/>
          <w:szCs w:val="20"/>
        </w:rPr>
        <w:t xml:space="preserve">These are service firms with no meaningful inventory.</w:t>
      </w:r>
      <w:r>
        <w:rPr>
          <w:rFonts w:ascii="Calibri" w:cs="Calibri" w:eastAsia="Calibri" w:hAnsi="Calibri"/>
          <w:sz w:val="20"/>
          <w:szCs w:val="20"/>
        </w:rPr>
        <w:t xml:space="preserve"> Inventory never exceeds 2.6% of total assets for any firm, so the ratios are not distorted by inventory valuation, manufacturing work-in-progress or commodity price effects.</w:t>
      </w:r>
    </w:p>
    <w:p>
      <w:pPr>
        <w:pStyle w:val="ListParagraph"/>
        <w:numPr>
          <w:ilvl w:val="0"/>
          <w:numId w:val="2"/>
        </w:numPr>
        <w:spacing w:after="40" w:line="252"/>
        <w:jc w:val="both"/>
      </w:pPr>
      <w:r>
        <w:rPr>
          <w:rFonts w:ascii="Calibri" w:cs="Calibri" w:eastAsia="Calibri" w:hAnsi="Calibri"/>
          <w:b/>
          <w:bCs/>
          <w:sz w:val="20"/>
          <w:szCs w:val="20"/>
        </w:rPr>
        <w:t xml:space="preserve">Working capital has the same shape.</w:t>
      </w:r>
      <w:r>
        <w:rPr>
          <w:rFonts w:ascii="Calibri" w:cs="Calibri" w:eastAsia="Calibri" w:hAnsi="Calibri"/>
          <w:sz w:val="20"/>
          <w:szCs w:val="20"/>
        </w:rPr>
        <w:t xml:space="preserve"> It is driven by trade receivables from B2B shippers (median 27.2% of total assets), so liquidity and turnover ratios measure the same thing, credit given to customers, for every firm.</w:t>
      </w:r>
    </w:p>
    <w:p>
      <w:pPr>
        <w:pStyle w:val="ListParagraph"/>
        <w:numPr>
          <w:ilvl w:val="0"/>
          <w:numId w:val="2"/>
        </w:numPr>
        <w:spacing w:after="40" w:line="252"/>
        <w:jc w:val="both"/>
      </w:pPr>
      <w:r>
        <w:rPr>
          <w:rFonts w:ascii="Calibri" w:cs="Calibri" w:eastAsia="Calibri" w:hAnsi="Calibri"/>
          <w:sz w:val="20"/>
          <w:szCs w:val="20"/>
        </w:rPr>
        <w:t xml:space="preserve">All ten face the </w:t>
      </w:r>
      <w:r>
        <w:rPr>
          <w:rFonts w:ascii="Calibri" w:cs="Calibri" w:eastAsia="Calibri" w:hAnsi="Calibri"/>
          <w:b/>
          <w:bCs/>
          <w:sz w:val="20"/>
          <w:szCs w:val="20"/>
        </w:rPr>
        <w:t xml:space="preserve">same demand drivers</w:t>
      </w:r>
      <w:r>
        <w:rPr>
          <w:rFonts w:ascii="Calibri" w:cs="Calibri" w:eastAsia="Calibri" w:hAnsi="Calibri"/>
          <w:sz w:val="20"/>
          <w:szCs w:val="20"/>
        </w:rPr>
        <w:t xml:space="preserve"> (EXIM trade, manufacturing and consumption, e-commerce), the </w:t>
      </w:r>
      <w:r>
        <w:rPr>
          <w:rFonts w:ascii="Calibri" w:cs="Calibri" w:eastAsia="Calibri" w:hAnsi="Calibri"/>
          <w:b/>
          <w:bCs/>
          <w:sz w:val="20"/>
          <w:szCs w:val="20"/>
        </w:rPr>
        <w:t xml:space="preserve">same input-cost drivers</w:t>
      </w:r>
      <w:r>
        <w:rPr>
          <w:rFonts w:ascii="Calibri" w:cs="Calibri" w:eastAsia="Calibri" w:hAnsi="Calibri"/>
          <w:sz w:val="20"/>
          <w:szCs w:val="20"/>
        </w:rPr>
        <w:t xml:space="preserve"> (diesel, freight rates, wages), the same accounting framework (Ind AS) and the same tax regime (GST). Over FY2020-FY2026 they lived through the same sequence of shocks: the FY2021 lockdown, the FY2022 freight and EXIM boom, and the subsequent normalisation. Differences in their ratios therefore reflect business model and management, not a different external environment. Isolating that is the purpose of a peer comparison.</w:t>
      </w:r>
    </w:p>
    <w:p>
      <w:pPr>
        <w:pStyle w:val="Heading2"/>
        <w:keepNext/>
        <w:spacing w:after="40" w:before="100"/>
      </w:pPr>
      <w:r>
        <w:rPr>
          <w:rFonts w:ascii="Calibri" w:cs="Calibri" w:eastAsia="Calibri" w:hAnsi="Calibri"/>
          <w:b/>
          <w:bCs/>
          <w:color w:val="2F5496"/>
          <w:sz w:val="21"/>
          <w:szCs w:val="21"/>
        </w:rPr>
        <w:t xml:space="preserve">2.2 Why these ten firms</w:t>
      </w:r>
    </w:p>
    <w:p>
      <w:pPr>
        <w:pStyle w:val="ListParagraph"/>
        <w:numPr>
          <w:ilvl w:val="0"/>
          <w:numId w:val="2"/>
        </w:numPr>
        <w:spacing w:after="40" w:line="252"/>
        <w:jc w:val="both"/>
      </w:pPr>
      <w:r>
        <w:rPr>
          <w:rFonts w:ascii="Calibri" w:cs="Calibri" w:eastAsia="Calibri" w:hAnsi="Calibri"/>
          <w:b/>
          <w:bCs/>
          <w:sz w:val="20"/>
          <w:szCs w:val="20"/>
        </w:rPr>
        <w:t xml:space="preserve">Typical, listed corporations.</w:t>
      </w:r>
      <w:r>
        <w:rPr>
          <w:rFonts w:ascii="Calibri" w:cs="Calibri" w:eastAsia="Calibri" w:hAnsi="Calibri"/>
          <w:sz w:val="20"/>
          <w:szCs w:val="20"/>
        </w:rPr>
        <w:t xml:space="preserve"> All ten are ordinary operating companies under the Companies Act, listed on NSE and/or BSE. None is a bank, NBFC, insurer or investment holding company, so standard (non-financial) ratio definitions apply to all of them.</w:t>
      </w:r>
    </w:p>
    <w:p>
      <w:pPr>
        <w:pStyle w:val="ListParagraph"/>
        <w:numPr>
          <w:ilvl w:val="0"/>
          <w:numId w:val="2"/>
        </w:numPr>
        <w:spacing w:after="40" w:line="252"/>
        <w:jc w:val="both"/>
      </w:pPr>
      <w:r>
        <w:rPr>
          <w:rFonts w:ascii="Calibri" w:cs="Calibri" w:eastAsia="Calibri" w:hAnsi="Calibri"/>
          <w:b/>
          <w:bCs/>
          <w:sz w:val="20"/>
          <w:szCs w:val="20"/>
        </w:rPr>
        <w:t xml:space="preserve">Complete data.</w:t>
      </w:r>
      <w:r>
        <w:rPr>
          <w:rFonts w:ascii="Calibri" w:cs="Calibri" w:eastAsia="Calibri" w:hAnsi="Calibri"/>
          <w:sz w:val="20"/>
          <w:szCs w:val="20"/>
        </w:rPr>
        <w:t xml:space="preserve"> Seven full years of audited statements (plus the FY2019 opening balance sheet) are available for every firm, compiled from their annual reports (see the Bibliography).</w:t>
      </w:r>
    </w:p>
    <w:p>
      <w:pPr>
        <w:pStyle w:val="ListParagraph"/>
        <w:numPr>
          <w:ilvl w:val="0"/>
          <w:numId w:val="2"/>
        </w:numPr>
        <w:spacing w:after="40" w:line="252"/>
        <w:jc w:val="both"/>
      </w:pPr>
      <w:r>
        <w:rPr>
          <w:rFonts w:ascii="Calibri" w:cs="Calibri" w:eastAsia="Calibri" w:hAnsi="Calibri"/>
          <w:b/>
          <w:bCs/>
          <w:sz w:val="20"/>
          <w:szCs w:val="20"/>
        </w:rPr>
        <w:t xml:space="preserve">The whole logistics value chain is covered</w:t>
      </w:r>
      <w:r>
        <w:rPr>
          <w:rFonts w:ascii="Calibri" w:cs="Calibri" w:eastAsia="Calibri" w:hAnsi="Calibri"/>
          <w:sz w:val="20"/>
          <w:szCs w:val="20"/>
        </w:rPr>
        <w:t xml:space="preserve">: freight forwarding (Tiger, Jet Freight), LCL consolidation and express (Allcargo), time-definite air express (Blue Dart), rail container logistics (CONCOR), road freight (Patel, Shreeji, TCI), contract 3PL (Mahindra Logistics) and bulk/mining logistics (Sical). The ten firms therefore represent an industry, not a niche.</w:t>
      </w:r>
    </w:p>
    <w:p>
      <w:pPr>
        <w:pStyle w:val="ListParagraph"/>
        <w:numPr>
          <w:ilvl w:val="0"/>
          <w:numId w:val="2"/>
        </w:numPr>
        <w:spacing w:after="40" w:line="252"/>
        <w:jc w:val="both"/>
      </w:pPr>
      <w:r>
        <w:rPr>
          <w:rFonts w:ascii="Calibri" w:cs="Calibri" w:eastAsia="Calibri" w:hAnsi="Calibri"/>
          <w:b/>
          <w:bCs/>
          <w:sz w:val="20"/>
          <w:szCs w:val="20"/>
        </w:rPr>
        <w:t xml:space="preserve">A wide range of size and ownership.</w:t>
      </w:r>
      <w:r>
        <w:rPr>
          <w:rFonts w:ascii="Calibri" w:cs="Calibri" w:eastAsia="Calibri" w:hAnsi="Calibri"/>
          <w:sz w:val="20"/>
          <w:szCs w:val="20"/>
        </w:rPr>
        <w:t xml:space="preserve"> FY26 sales range from Rs 234 cr (Shreeji) to Rs 9,079 cr (CONCOR), and market capitalisation from Rs 41 cr to Rs 32,391 cr. Owners include a Central PSU (CONCOR), an MNC subsidiary (Blue Dart, DHL Group), a business-group company (Mahindra Logistics) and promoter-run small caps. This lets us test whether scale or ownership explains performance; Section 7 shows that size does not.</w:t>
      </w:r>
    </w:p>
    <w:p>
      <w:pPr>
        <w:pStyle w:val="ListParagraph"/>
        <w:numPr>
          <w:ilvl w:val="0"/>
          <w:numId w:val="2"/>
        </w:numPr>
        <w:spacing w:after="40" w:line="252"/>
        <w:jc w:val="both"/>
      </w:pPr>
      <w:r>
        <w:rPr>
          <w:rFonts w:ascii="Calibri" w:cs="Calibri" w:eastAsia="Calibri" w:hAnsi="Calibri"/>
          <w:b/>
          <w:bCs/>
          <w:sz w:val="20"/>
          <w:szCs w:val="20"/>
        </w:rPr>
        <w:t xml:space="preserve">Realistic stress cases.</w:t>
      </w:r>
      <w:r>
        <w:rPr>
          <w:rFonts w:ascii="Calibri" w:cs="Calibri" w:eastAsia="Calibri" w:hAnsi="Calibri"/>
          <w:sz w:val="20"/>
          <w:szCs w:val="20"/>
        </w:rPr>
        <w:t xml:space="preserve"> Sical went through insolvency resolution under the IBC (resolution plan approved by NCLT Chennai, December 2022). Allcargo demerged its international business (effective 1 November 2025). These cases make the solvency and decision analysis more informative.</w:t>
      </w:r>
    </w:p>
    <w:p>
      <w:pPr>
        <w:pStyle w:val="Heading2"/>
        <w:keepNext/>
        <w:spacing w:after="40" w:before="100"/>
      </w:pPr>
      <w:r>
        <w:rPr>
          <w:rFonts w:ascii="Calibri" w:cs="Calibri" w:eastAsia="Calibri" w:hAnsi="Calibri"/>
          <w:b/>
          <w:bCs/>
          <w:color w:val="2F5496"/>
          <w:sz w:val="21"/>
          <w:szCs w:val="21"/>
        </w:rPr>
        <w:t xml:space="preserve">2.3 Different value propositions, one operating model</w:t>
      </w:r>
    </w:p>
    <w:p>
      <w:pPr>
        <w:spacing w:after="80" w:line="252"/>
        <w:jc w:val="both"/>
      </w:pPr>
      <w:r>
        <w:rPr>
          <w:rFonts w:ascii="Calibri" w:cs="Calibri" w:eastAsia="Calibri" w:hAnsi="Calibri"/>
          <w:sz w:val="20"/>
          <w:szCs w:val="20"/>
        </w:rPr>
        <w:t xml:space="preserve">The firms promise customers different things: speed and reliability (Blue Dart), low-cost bulk movement by rail (CONCOR), customised outsourced supply chains (Mahindra Logistics), global consolidation (Allcargo), and niche, relationship-driven forwarding (Tiger, Jet Freight). The operating cycle is nonetheless identical: book cargo, deploy owned or hired capacity, move and handle it, invoice on credit, collect. The main strategic difference is </w:t>
      </w:r>
      <w:r>
        <w:rPr>
          <w:rFonts w:ascii="Calibri" w:cs="Calibri" w:eastAsia="Calibri" w:hAnsi="Calibri"/>
          <w:b/>
          <w:bCs/>
          <w:sz w:val="20"/>
          <w:szCs w:val="20"/>
        </w:rPr>
        <w:t xml:space="preserve">how much capacity is owned</w:t>
      </w:r>
      <w:r>
        <w:rPr>
          <w:rFonts w:ascii="Calibri" w:cs="Calibri" w:eastAsia="Calibri" w:hAnsi="Calibri"/>
          <w:sz w:val="20"/>
          <w:szCs w:val="20"/>
        </w:rPr>
        <w:t xml:space="preserve">. Net fixed assets range from 6.7% of total assets (Tiger) to 58.8% (Sical). Splitting the firms at the median asset intensity (34.1%) gives five asset-light and five asset-heavy firms. Figure 1 shows the classic margin-turnover trade-off between them. Asset-heavy firms (excluding Sical) average a </w:t>
      </w:r>
      <w:r>
        <w:rPr>
          <w:rFonts w:ascii="Calibri" w:cs="Calibri" w:eastAsia="Calibri" w:hAnsi="Calibri"/>
          <w:b/>
          <w:bCs/>
          <w:sz w:val="20"/>
          <w:szCs w:val="20"/>
        </w:rPr>
        <w:t xml:space="preserve">14.4% operating EBITDA margin on 1.35x asset turnover</w:t>
      </w:r>
      <w:r>
        <w:rPr>
          <w:rFonts w:ascii="Calibri" w:cs="Calibri" w:eastAsia="Calibri" w:hAnsi="Calibri"/>
          <w:sz w:val="20"/>
          <w:szCs w:val="20"/>
        </w:rPr>
        <w:t xml:space="preserve">, against </w:t>
      </w:r>
      <w:r>
        <w:rPr>
          <w:rFonts w:ascii="Calibri" w:cs="Calibri" w:eastAsia="Calibri" w:hAnsi="Calibri"/>
          <w:b/>
          <w:bCs/>
          <w:sz w:val="20"/>
          <w:szCs w:val="20"/>
        </w:rPr>
        <w:t xml:space="preserve">4.0% on 2.39x</w:t>
      </w:r>
      <w:r>
        <w:rPr>
          <w:rFonts w:ascii="Calibri" w:cs="Calibri" w:eastAsia="Calibri" w:hAnsi="Calibri"/>
          <w:sz w:val="20"/>
          <w:szCs w:val="20"/>
        </w:rPr>
        <w:t xml:space="preserve"> for asset-light firms. The turnover difference is significant at 5% (Welch t-test, p = 0.042) and the margin difference at 10% (p = 0.057). Yet their </w:t>
      </w:r>
      <w:r>
        <w:rPr>
          <w:rFonts w:ascii="Calibri" w:cs="Calibri" w:eastAsia="Calibri" w:hAnsi="Calibri"/>
          <w:b/>
          <w:bCs/>
          <w:sz w:val="20"/>
          <w:szCs w:val="20"/>
        </w:rPr>
        <w:t xml:space="preserve">ROCE is not significantly different</w:t>
      </w:r>
      <w:r>
        <w:rPr>
          <w:rFonts w:ascii="Calibri" w:cs="Calibri" w:eastAsia="Calibri" w:hAnsi="Calibri"/>
          <w:sz w:val="20"/>
          <w:szCs w:val="20"/>
        </w:rPr>
        <w:t xml:space="preserve"> (8.2% vs 12.3%, p = 0.201). Different value propositions reach statistically similar returns by different routes. This is exactly why the ten firms are legitimate peers whose ratios can be compared, and why each ratio must be read in light of the firm's model.</w:t>
      </w:r>
    </w:p>
    <w:p>
      <w:pPr>
        <w:spacing w:after="80" w:line="252"/>
        <w:jc w:val="both"/>
      </w:pPr>
      <w:r>
        <w:rPr>
          <w:rFonts w:ascii="Calibri" w:cs="Calibri" w:eastAsia="Calibri" w:hAnsi="Calibri"/>
          <w:b/>
          <w:bCs/>
          <w:sz w:val="20"/>
          <w:szCs w:val="20"/>
        </w:rPr>
        <w:t xml:space="preserve">Comparability safeguards.</w:t>
      </w:r>
      <w:r>
        <w:rPr>
          <w:rFonts w:ascii="Calibri" w:cs="Calibri" w:eastAsia="Calibri" w:hAnsi="Calibri"/>
          <w:sz w:val="20"/>
          <w:szCs w:val="20"/>
        </w:rPr>
        <w:t xml:space="preserve"> All ten firms close their books on 31 March and report under Ind AS. All data come from one source on a consistent (consolidated where available) basis, and every ratio uses identical formulas. Structural breaks are flagged rather than hidden: Allcargo's restructured perimeter, Ind AS 116 lease liabilities from FY2020, and Sical's insolvency years. Like-for-like comparison is therefore preserved, and no firm is helped or hurt by definitional differences.</w:t>
      </w:r>
    </w:p>
    <w:p>
      <w:pPr>
        <w:keepNext/>
        <w:spacing w:after="40" w:before="100"/>
      </w:pPr>
      <w:r>
        <w:rPr>
          <w:rFonts w:ascii="Calibri" w:cs="Calibri" w:eastAsia="Calibri" w:hAnsi="Calibri"/>
          <w:b/>
          <w:bCs/>
          <w:color w:val="1F3864"/>
          <w:sz w:val="16"/>
          <w:szCs w:val="16"/>
        </w:rPr>
        <w:t xml:space="preserve">Table 1: Firm profiles and operating-homogeneity evidence (ratios are 7-year averages, %)</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2500"/>
        <w:gridCol w:w="650"/>
        <w:gridCol w:w="850"/>
        <w:gridCol w:w="850"/>
        <w:gridCol w:w="780"/>
        <w:gridCol w:w="800"/>
        <w:gridCol w:w="780"/>
        <w:gridCol w:w="750"/>
        <w:gridCol w:w="756"/>
      </w:tblGrid>
      <w:tr>
        <w:trPr>
          <w:cantSplit/>
          <w:tblHeader/>
        </w:trPr>
        <w:tc>
          <w:tcPr>
            <w:tcW w:type="dxa" w:w="1150"/>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Firm</w:t>
            </w:r>
          </w:p>
        </w:tc>
        <w:tc>
          <w:tcPr>
            <w:tcW w:type="dxa" w:w="2500"/>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Value proposition</w:t>
            </w:r>
          </w:p>
        </w:tc>
        <w:tc>
          <w:tcPr>
            <w:tcW w:type="dxa" w:w="650"/>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Model</w:t>
            </w:r>
          </w:p>
        </w:tc>
        <w:tc>
          <w:tcPr>
            <w:tcW w:type="dxa" w:w="850"/>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Sales FY26 (Rs cr)</w:t>
            </w:r>
          </w:p>
        </w:tc>
        <w:tc>
          <w:tcPr>
            <w:tcW w:type="dxa" w:w="850"/>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Mkt cap FY26 (Rs cr)</w:t>
            </w:r>
          </w:p>
        </w:tc>
        <w:tc>
          <w:tcPr>
            <w:tcW w:type="dxa" w:w="780"/>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Net block % TA</w:t>
            </w:r>
          </w:p>
        </w:tc>
        <w:tc>
          <w:tcPr>
            <w:tcW w:type="dxa" w:w="800"/>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Direct op. cost % sales</w:t>
            </w:r>
          </w:p>
        </w:tc>
        <w:tc>
          <w:tcPr>
            <w:tcW w:type="dxa" w:w="780"/>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Employee % sales</w:t>
            </w:r>
          </w:p>
        </w:tc>
        <w:tc>
          <w:tcPr>
            <w:tcW w:type="dxa" w:w="750"/>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Inventory % TA</w:t>
            </w:r>
          </w:p>
        </w:tc>
        <w:tc>
          <w:tcPr>
            <w:tcW w:type="dxa" w:w="756"/>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Receivables % TA</w:t>
            </w:r>
          </w:p>
        </w:tc>
      </w:tr>
      <w:tr>
        <w:trPr>
          <w:cantSplit/>
        </w:trPr>
        <w:tc>
          <w:tcPr>
            <w:tcW w:type="dxa" w:w="115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Tiger</w:t>
            </w:r>
          </w:p>
        </w:tc>
        <w:tc>
          <w:tcPr>
            <w:tcW w:type="dxa" w:w="25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Sea/air forwarding, customs, project cargo</w:t>
            </w:r>
          </w:p>
        </w:tc>
        <w:tc>
          <w:tcPr>
            <w:tcW w:type="dxa" w:w="65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Light</w:t>
            </w:r>
          </w:p>
        </w:tc>
        <w:tc>
          <w:tcPr>
            <w:tcW w:type="dxa" w:w="85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573</w:t>
            </w:r>
          </w:p>
        </w:tc>
        <w:tc>
          <w:tcPr>
            <w:tcW w:type="dxa" w:w="85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253</w:t>
            </w:r>
          </w:p>
        </w:tc>
        <w:tc>
          <w:tcPr>
            <w:tcW w:type="dxa" w:w="78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6.7</w:t>
            </w:r>
          </w:p>
        </w:tc>
        <w:tc>
          <w:tcPr>
            <w:tcW w:type="dxa" w:w="8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90.0</w:t>
            </w:r>
          </w:p>
        </w:tc>
        <w:tc>
          <w:tcPr>
            <w:tcW w:type="dxa" w:w="78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4.3</w:t>
            </w:r>
          </w:p>
        </w:tc>
        <w:tc>
          <w:tcPr>
            <w:tcW w:type="dxa" w:w="75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0.0</w:t>
            </w:r>
          </w:p>
        </w:tc>
        <w:tc>
          <w:tcPr>
            <w:tcW w:type="dxa" w:w="75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53.4</w:t>
            </w:r>
          </w:p>
        </w:tc>
      </w:tr>
      <w:tr>
        <w:trPr>
          <w:cantSplit/>
        </w:trPr>
        <w:tc>
          <w:tcPr>
            <w:tcW w:type="dxa" w:w="115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Allcargo</w:t>
            </w:r>
          </w:p>
        </w:tc>
        <w:tc>
          <w:tcPr>
            <w:tcW w:type="dxa" w:w="25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LCL consolidation (to Nov-25), express</w:t>
            </w:r>
          </w:p>
        </w:tc>
        <w:tc>
          <w:tcPr>
            <w:tcW w:type="dxa" w:w="65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Heavy</w:t>
            </w:r>
          </w:p>
        </w:tc>
        <w:tc>
          <w:tcPr>
            <w:tcW w:type="dxa" w:w="85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2,058</w:t>
            </w:r>
          </w:p>
        </w:tc>
        <w:tc>
          <w:tcPr>
            <w:tcW w:type="dxa" w:w="85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1,075</w:t>
            </w:r>
          </w:p>
        </w:tc>
        <w:tc>
          <w:tcPr>
            <w:tcW w:type="dxa" w:w="78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39.2</w:t>
            </w:r>
          </w:p>
        </w:tc>
        <w:tc>
          <w:tcPr>
            <w:tcW w:type="dxa" w:w="8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76.4</w:t>
            </w:r>
          </w:p>
        </w:tc>
        <w:tc>
          <w:tcPr>
            <w:tcW w:type="dxa" w:w="78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11.9</w:t>
            </w:r>
          </w:p>
        </w:tc>
        <w:tc>
          <w:tcPr>
            <w:tcW w:type="dxa" w:w="75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0.1</w:t>
            </w:r>
          </w:p>
        </w:tc>
        <w:tc>
          <w:tcPr>
            <w:tcW w:type="dxa" w:w="75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27.0</w:t>
            </w:r>
          </w:p>
        </w:tc>
      </w:tr>
      <w:tr>
        <w:trPr>
          <w:cantSplit/>
        </w:trPr>
        <w:tc>
          <w:tcPr>
            <w:tcW w:type="dxa" w:w="115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Blue Dart</w:t>
            </w:r>
          </w:p>
        </w:tc>
        <w:tc>
          <w:tcPr>
            <w:tcW w:type="dxa" w:w="25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Time-definite air &amp; ground express</w:t>
            </w:r>
          </w:p>
        </w:tc>
        <w:tc>
          <w:tcPr>
            <w:tcW w:type="dxa" w:w="65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Heavy</w:t>
            </w:r>
          </w:p>
        </w:tc>
        <w:tc>
          <w:tcPr>
            <w:tcW w:type="dxa" w:w="85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6,141</w:t>
            </w:r>
          </w:p>
        </w:tc>
        <w:tc>
          <w:tcPr>
            <w:tcW w:type="dxa" w:w="85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11,250</w:t>
            </w:r>
          </w:p>
        </w:tc>
        <w:tc>
          <w:tcPr>
            <w:tcW w:type="dxa" w:w="78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52.1</w:t>
            </w:r>
          </w:p>
        </w:tc>
        <w:tc>
          <w:tcPr>
            <w:tcW w:type="dxa" w:w="8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57.4</w:t>
            </w:r>
          </w:p>
        </w:tc>
        <w:tc>
          <w:tcPr>
            <w:tcW w:type="dxa" w:w="78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18.6</w:t>
            </w:r>
          </w:p>
        </w:tc>
        <w:tc>
          <w:tcPr>
            <w:tcW w:type="dxa" w:w="75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1.3</w:t>
            </w:r>
          </w:p>
        </w:tc>
        <w:tc>
          <w:tcPr>
            <w:tcW w:type="dxa" w:w="75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20.2</w:t>
            </w:r>
          </w:p>
        </w:tc>
      </w:tr>
      <w:tr>
        <w:trPr>
          <w:cantSplit/>
        </w:trPr>
        <w:tc>
          <w:tcPr>
            <w:tcW w:type="dxa" w:w="115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CONCOR</w:t>
            </w:r>
          </w:p>
        </w:tc>
        <w:tc>
          <w:tcPr>
            <w:tcW w:type="dxa" w:w="25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Rail container trains, ICDs/CFSs</w:t>
            </w:r>
          </w:p>
        </w:tc>
        <w:tc>
          <w:tcPr>
            <w:tcW w:type="dxa" w:w="65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Heavy</w:t>
            </w:r>
          </w:p>
        </w:tc>
        <w:tc>
          <w:tcPr>
            <w:tcW w:type="dxa" w:w="85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9,079</w:t>
            </w:r>
          </w:p>
        </w:tc>
        <w:tc>
          <w:tcPr>
            <w:tcW w:type="dxa" w:w="85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32,391</w:t>
            </w:r>
          </w:p>
        </w:tc>
        <w:tc>
          <w:tcPr>
            <w:tcW w:type="dxa" w:w="78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44.6</w:t>
            </w:r>
          </w:p>
        </w:tc>
        <w:tc>
          <w:tcPr>
            <w:tcW w:type="dxa" w:w="8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65.4</w:t>
            </w:r>
          </w:p>
        </w:tc>
        <w:tc>
          <w:tcPr>
            <w:tcW w:type="dxa" w:w="78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5.6</w:t>
            </w:r>
          </w:p>
        </w:tc>
        <w:tc>
          <w:tcPr>
            <w:tcW w:type="dxa" w:w="75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0.3</w:t>
            </w:r>
          </w:p>
        </w:tc>
        <w:tc>
          <w:tcPr>
            <w:tcW w:type="dxa" w:w="75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2.0</w:t>
            </w:r>
          </w:p>
        </w:tc>
      </w:tr>
      <w:tr>
        <w:trPr>
          <w:cantSplit/>
        </w:trPr>
        <w:tc>
          <w:tcPr>
            <w:tcW w:type="dxa" w:w="115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Jet Freight</w:t>
            </w:r>
          </w:p>
        </w:tc>
        <w:tc>
          <w:tcPr>
            <w:tcW w:type="dxa" w:w="25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Air freight forwarding, perishables</w:t>
            </w:r>
          </w:p>
        </w:tc>
        <w:tc>
          <w:tcPr>
            <w:tcW w:type="dxa" w:w="65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Light</w:t>
            </w:r>
          </w:p>
        </w:tc>
        <w:tc>
          <w:tcPr>
            <w:tcW w:type="dxa" w:w="85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444</w:t>
            </w:r>
          </w:p>
        </w:tc>
        <w:tc>
          <w:tcPr>
            <w:tcW w:type="dxa" w:w="85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79</w:t>
            </w:r>
          </w:p>
        </w:tc>
        <w:tc>
          <w:tcPr>
            <w:tcW w:type="dxa" w:w="78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19.5</w:t>
            </w:r>
          </w:p>
        </w:tc>
        <w:tc>
          <w:tcPr>
            <w:tcW w:type="dxa" w:w="8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92.5</w:t>
            </w:r>
          </w:p>
        </w:tc>
        <w:tc>
          <w:tcPr>
            <w:tcW w:type="dxa" w:w="78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4.0</w:t>
            </w:r>
          </w:p>
        </w:tc>
        <w:tc>
          <w:tcPr>
            <w:tcW w:type="dxa" w:w="75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0.0</w:t>
            </w:r>
          </w:p>
        </w:tc>
        <w:tc>
          <w:tcPr>
            <w:tcW w:type="dxa" w:w="75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42.8</w:t>
            </w:r>
          </w:p>
        </w:tc>
      </w:tr>
      <w:tr>
        <w:trPr>
          <w:cantSplit/>
        </w:trPr>
        <w:tc>
          <w:tcPr>
            <w:tcW w:type="dxa" w:w="115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Patel</w:t>
            </w:r>
          </w:p>
        </w:tc>
        <w:tc>
          <w:tcPr>
            <w:tcW w:type="dxa" w:w="25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Road transport, air-cargo consolidation</w:t>
            </w:r>
          </w:p>
        </w:tc>
        <w:tc>
          <w:tcPr>
            <w:tcW w:type="dxa" w:w="65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Light</w:t>
            </w:r>
          </w:p>
        </w:tc>
        <w:tc>
          <w:tcPr>
            <w:tcW w:type="dxa" w:w="85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357</w:t>
            </w:r>
          </w:p>
        </w:tc>
        <w:tc>
          <w:tcPr>
            <w:tcW w:type="dxa" w:w="85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57</w:t>
            </w:r>
          </w:p>
        </w:tc>
        <w:tc>
          <w:tcPr>
            <w:tcW w:type="dxa" w:w="78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28.3</w:t>
            </w:r>
          </w:p>
        </w:tc>
        <w:tc>
          <w:tcPr>
            <w:tcW w:type="dxa" w:w="8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90.1</w:t>
            </w:r>
          </w:p>
        </w:tc>
        <w:tc>
          <w:tcPr>
            <w:tcW w:type="dxa" w:w="78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4.7</w:t>
            </w:r>
          </w:p>
        </w:tc>
        <w:tc>
          <w:tcPr>
            <w:tcW w:type="dxa" w:w="75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0.0</w:t>
            </w:r>
          </w:p>
        </w:tc>
        <w:tc>
          <w:tcPr>
            <w:tcW w:type="dxa" w:w="75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41.7</w:t>
            </w:r>
          </w:p>
        </w:tc>
      </w:tr>
      <w:tr>
        <w:trPr>
          <w:cantSplit/>
        </w:trPr>
        <w:tc>
          <w:tcPr>
            <w:tcW w:type="dxa" w:w="115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Sical</w:t>
            </w:r>
          </w:p>
        </w:tc>
        <w:tc>
          <w:tcPr>
            <w:tcW w:type="dxa" w:w="25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Bulk/mining logistics, port &amp; rail</w:t>
            </w:r>
          </w:p>
        </w:tc>
        <w:tc>
          <w:tcPr>
            <w:tcW w:type="dxa" w:w="65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Heavy</w:t>
            </w:r>
          </w:p>
        </w:tc>
        <w:tc>
          <w:tcPr>
            <w:tcW w:type="dxa" w:w="85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386</w:t>
            </w:r>
          </w:p>
        </w:tc>
        <w:tc>
          <w:tcPr>
            <w:tcW w:type="dxa" w:w="85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503</w:t>
            </w:r>
          </w:p>
        </w:tc>
        <w:tc>
          <w:tcPr>
            <w:tcW w:type="dxa" w:w="78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58.8</w:t>
            </w:r>
          </w:p>
        </w:tc>
        <w:tc>
          <w:tcPr>
            <w:tcW w:type="dxa" w:w="8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77.0</w:t>
            </w:r>
          </w:p>
        </w:tc>
        <w:tc>
          <w:tcPr>
            <w:tcW w:type="dxa" w:w="78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9.5</w:t>
            </w:r>
          </w:p>
        </w:tc>
        <w:tc>
          <w:tcPr>
            <w:tcW w:type="dxa" w:w="75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0.4</w:t>
            </w:r>
          </w:p>
        </w:tc>
        <w:tc>
          <w:tcPr>
            <w:tcW w:type="dxa" w:w="75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8.8</w:t>
            </w:r>
          </w:p>
        </w:tc>
      </w:tr>
      <w:tr>
        <w:trPr>
          <w:cantSplit/>
        </w:trPr>
        <w:tc>
          <w:tcPr>
            <w:tcW w:type="dxa" w:w="115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TCI</w:t>
            </w:r>
          </w:p>
        </w:tc>
        <w:tc>
          <w:tcPr>
            <w:tcW w:type="dxa" w:w="25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Multimodal: road, 3PL, coastal shipping</w:t>
            </w:r>
          </w:p>
        </w:tc>
        <w:tc>
          <w:tcPr>
            <w:tcW w:type="dxa" w:w="65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Heavy</w:t>
            </w:r>
          </w:p>
        </w:tc>
        <w:tc>
          <w:tcPr>
            <w:tcW w:type="dxa" w:w="85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4,917</w:t>
            </w:r>
          </w:p>
        </w:tc>
        <w:tc>
          <w:tcPr>
            <w:tcW w:type="dxa" w:w="85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7,079</w:t>
            </w:r>
          </w:p>
        </w:tc>
        <w:tc>
          <w:tcPr>
            <w:tcW w:type="dxa" w:w="78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39.3</w:t>
            </w:r>
          </w:p>
        </w:tc>
        <w:tc>
          <w:tcPr>
            <w:tcW w:type="dxa" w:w="8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81.4</w:t>
            </w:r>
          </w:p>
        </w:tc>
        <w:tc>
          <w:tcPr>
            <w:tcW w:type="dxa" w:w="78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5.5</w:t>
            </w:r>
          </w:p>
        </w:tc>
        <w:tc>
          <w:tcPr>
            <w:tcW w:type="dxa" w:w="75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0.4</w:t>
            </w:r>
          </w:p>
        </w:tc>
        <w:tc>
          <w:tcPr>
            <w:tcW w:type="dxa" w:w="75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26.4</w:t>
            </w:r>
          </w:p>
        </w:tc>
      </w:tr>
      <w:tr>
        <w:trPr>
          <w:cantSplit/>
        </w:trPr>
        <w:tc>
          <w:tcPr>
            <w:tcW w:type="dxa" w:w="115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Shreeji</w:t>
            </w:r>
          </w:p>
        </w:tc>
        <w:tc>
          <w:tcPr>
            <w:tcW w:type="dxa" w:w="25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Road freight (FTL/PTL)</w:t>
            </w:r>
          </w:p>
        </w:tc>
        <w:tc>
          <w:tcPr>
            <w:tcW w:type="dxa" w:w="65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Light</w:t>
            </w:r>
          </w:p>
        </w:tc>
        <w:tc>
          <w:tcPr>
            <w:tcW w:type="dxa" w:w="85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234</w:t>
            </w:r>
          </w:p>
        </w:tc>
        <w:tc>
          <w:tcPr>
            <w:tcW w:type="dxa" w:w="85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41</w:t>
            </w:r>
          </w:p>
        </w:tc>
        <w:tc>
          <w:tcPr>
            <w:tcW w:type="dxa" w:w="78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25.6</w:t>
            </w:r>
          </w:p>
        </w:tc>
        <w:tc>
          <w:tcPr>
            <w:tcW w:type="dxa" w:w="8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80.4</w:t>
            </w:r>
          </w:p>
        </w:tc>
        <w:tc>
          <w:tcPr>
            <w:tcW w:type="dxa" w:w="78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5.9</w:t>
            </w:r>
          </w:p>
        </w:tc>
        <w:tc>
          <w:tcPr>
            <w:tcW w:type="dxa" w:w="75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2.6</w:t>
            </w:r>
          </w:p>
        </w:tc>
        <w:tc>
          <w:tcPr>
            <w:tcW w:type="dxa" w:w="75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50.1</w:t>
            </w:r>
          </w:p>
        </w:tc>
      </w:tr>
      <w:tr>
        <w:trPr>
          <w:cantSplit/>
        </w:trPr>
        <w:tc>
          <w:tcPr>
            <w:tcW w:type="dxa" w:w="115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Mahindra Log.</w:t>
            </w:r>
          </w:p>
        </w:tc>
        <w:tc>
          <w:tcPr>
            <w:tcW w:type="dxa" w:w="25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Asset-light 3PL, warehousing, express</w:t>
            </w:r>
          </w:p>
        </w:tc>
        <w:tc>
          <w:tcPr>
            <w:tcW w:type="dxa" w:w="65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Light</w:t>
            </w:r>
          </w:p>
        </w:tc>
        <w:tc>
          <w:tcPr>
            <w:tcW w:type="dxa" w:w="85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6,999</w:t>
            </w:r>
          </w:p>
        </w:tc>
        <w:tc>
          <w:tcPr>
            <w:tcW w:type="dxa" w:w="85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3,301</w:t>
            </w:r>
          </w:p>
        </w:tc>
        <w:tc>
          <w:tcPr>
            <w:tcW w:type="dxa" w:w="78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28.9</w:t>
            </w:r>
          </w:p>
        </w:tc>
        <w:tc>
          <w:tcPr>
            <w:tcW w:type="dxa" w:w="8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85.6</w:t>
            </w:r>
          </w:p>
        </w:tc>
        <w:tc>
          <w:tcPr>
            <w:tcW w:type="dxa" w:w="78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7.5</w:t>
            </w:r>
          </w:p>
        </w:tc>
        <w:tc>
          <w:tcPr>
            <w:tcW w:type="dxa" w:w="75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0.0</w:t>
            </w:r>
          </w:p>
        </w:tc>
        <w:tc>
          <w:tcPr>
            <w:tcW w:type="dxa" w:w="75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27.4</w:t>
            </w:r>
          </w:p>
        </w:tc>
      </w:tr>
      <w:tr>
        <w:trPr>
          <w:cantSplit/>
        </w:trPr>
        <w:tc>
          <w:tcPr>
            <w:tcW w:type="dxa" w:w="1150"/>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bCs/>
                <w:color w:val="000000"/>
                <w:sz w:val="15"/>
                <w:szCs w:val="15"/>
              </w:rPr>
              <w:t xml:space="preserve">Median</w:t>
            </w:r>
          </w:p>
        </w:tc>
        <w:tc>
          <w:tcPr>
            <w:tcW w:type="dxa" w:w="2500"/>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left"/>
            </w:pPr>
          </w:p>
        </w:tc>
        <w:tc>
          <w:tcPr>
            <w:tcW w:type="dxa" w:w="650"/>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p>
        </w:tc>
        <w:tc>
          <w:tcPr>
            <w:tcW w:type="dxa" w:w="850"/>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1,315</w:t>
            </w:r>
          </w:p>
        </w:tc>
        <w:tc>
          <w:tcPr>
            <w:tcW w:type="dxa" w:w="850"/>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789</w:t>
            </w:r>
          </w:p>
        </w:tc>
        <w:tc>
          <w:tcPr>
            <w:tcW w:type="dxa" w:w="780"/>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34.1</w:t>
            </w:r>
          </w:p>
        </w:tc>
        <w:tc>
          <w:tcPr>
            <w:tcW w:type="dxa" w:w="800"/>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80.9</w:t>
            </w:r>
          </w:p>
        </w:tc>
        <w:tc>
          <w:tcPr>
            <w:tcW w:type="dxa" w:w="780"/>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5.7</w:t>
            </w:r>
          </w:p>
        </w:tc>
        <w:tc>
          <w:tcPr>
            <w:tcW w:type="dxa" w:w="750"/>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0.2</w:t>
            </w:r>
          </w:p>
        </w:tc>
        <w:tc>
          <w:tcPr>
            <w:tcW w:type="dxa" w:w="756"/>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27.2</w:t>
            </w:r>
          </w:p>
        </w:tc>
      </w:tr>
    </w:tbl>
    <w:p>
      <w:pPr>
        <w:spacing w:after="40"/>
      </w:pPr>
    </w:p>
    <w:p>
      <w:pPr>
        <w:keepNext/>
        <w:spacing w:after="20" w:before="60"/>
        <w:jc w:val="center"/>
      </w:pPr>
      <w:r>
        <w:drawing>
          <wp:inline distT="0" distB="0" distL="0" distR="0">
            <wp:extent cx="4857750" cy="2428875"/>
            <wp:effectExtent t="0" r="0" b="0" l="0"/>
            <wp:docPr id="1" name="fig1.png" descr="Figure 1: Margin-turnover trade-off: 7-year average operating EBITDA margin vs total asset turnover" title="Figure 1: Margin-turnover trade-off: 7-year average operating EBITDA margin vs total asset turn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857750" cy="2428875"/>
                    </a:xfrm>
                    <a:prstGeom prst="rect">
                      <a:avLst/>
                    </a:prstGeom>
                  </pic:spPr>
                </pic:pic>
              </a:graphicData>
            </a:graphic>
          </wp:inline>
        </w:drawing>
      </w:r>
    </w:p>
    <w:p>
      <w:pPr>
        <w:spacing w:after="100"/>
        <w:jc w:val="center"/>
      </w:pPr>
      <w:r>
        <w:rPr>
          <w:rFonts w:ascii="Calibri" w:cs="Calibri" w:eastAsia="Calibri" w:hAnsi="Calibri"/>
          <w:i/>
          <w:iCs/>
          <w:color w:val="404040"/>
          <w:sz w:val="16"/>
          <w:szCs w:val="16"/>
        </w:rPr>
        <w:t xml:space="preserve">Figure 1: Margin-turnover trade-off: 7-year average operating EBITDA margin vs total asset turnover</w:t>
      </w:r>
    </w:p>
    <w:p>
      <w:pPr>
        <w:pStyle w:val="Heading1"/>
        <w:keepNext/>
        <w:spacing w:after="60" w:before="160"/>
      </w:pPr>
      <w:r>
        <w:rPr>
          <w:rFonts w:ascii="Calibri" w:cs="Calibri" w:eastAsia="Calibri" w:hAnsi="Calibri"/>
          <w:b/>
          <w:bCs/>
          <w:color w:val="1F3864"/>
          <w:sz w:val="24"/>
          <w:szCs w:val="24"/>
        </w:rPr>
        <w:t xml:space="preserve">3. Data and methodology</w:t>
      </w:r>
    </w:p>
    <w:p>
      <w:pPr>
        <w:pStyle w:val="ListParagraph"/>
        <w:numPr>
          <w:ilvl w:val="0"/>
          <w:numId w:val="2"/>
        </w:numPr>
        <w:spacing w:after="40" w:line="252"/>
        <w:jc w:val="both"/>
      </w:pPr>
      <w:r>
        <w:rPr>
          <w:rFonts w:ascii="Calibri" w:cs="Calibri" w:eastAsia="Calibri" w:hAnsi="Calibri"/>
          <w:b/>
          <w:bCs/>
          <w:sz w:val="20"/>
          <w:szCs w:val="20"/>
        </w:rPr>
        <w:t xml:space="preserve">Data.</w:t>
      </w:r>
      <w:r>
        <w:rPr>
          <w:rFonts w:ascii="Calibri" w:cs="Calibri" w:eastAsia="Calibri" w:hAnsi="Calibri"/>
          <w:sz w:val="20"/>
          <w:szCs w:val="20"/>
        </w:rPr>
        <w:t xml:space="preserve"> We use the group's Screener.in export of each company's annual-report financials (consolidated statements where published), the March year-end share price and the bonus/split-adjusted share count. Amounts are in Rs crore. Every annual report used is listed with access links in the separate Bibliography.</w:t>
      </w:r>
    </w:p>
    <w:p>
      <w:pPr>
        <w:pStyle w:val="ListParagraph"/>
        <w:numPr>
          <w:ilvl w:val="0"/>
          <w:numId w:val="2"/>
        </w:numPr>
        <w:spacing w:after="40" w:line="252"/>
        <w:jc w:val="both"/>
      </w:pPr>
      <w:r>
        <w:rPr>
          <w:rFonts w:ascii="Calibri" w:cs="Calibri" w:eastAsia="Calibri" w:hAnsi="Calibri"/>
          <w:b/>
          <w:bCs/>
          <w:sz w:val="20"/>
          <w:szCs w:val="20"/>
        </w:rPr>
        <w:t xml:space="preserve">Industry benchmarks.</w:t>
      </w:r>
      <w:r>
        <w:rPr>
          <w:rFonts w:ascii="Calibri" w:cs="Calibri" w:eastAsia="Calibri" w:hAnsi="Calibri"/>
          <w:sz w:val="20"/>
          <w:szCs w:val="20"/>
        </w:rPr>
        <w:t xml:space="preserve"> (i) The </w:t>
      </w:r>
      <w:r>
        <w:rPr>
          <w:rFonts w:ascii="Calibri" w:cs="Calibri" w:eastAsia="Calibri" w:hAnsi="Calibri"/>
          <w:i/>
          <w:iCs/>
          <w:sz w:val="20"/>
          <w:szCs w:val="20"/>
        </w:rPr>
        <w:t xml:space="preserve">industry aggregate</w:t>
      </w:r>
      <w:r>
        <w:rPr>
          <w:rFonts w:ascii="Calibri" w:cs="Calibri" w:eastAsia="Calibri" w:hAnsi="Calibri"/>
          <w:sz w:val="20"/>
          <w:szCs w:val="20"/>
        </w:rPr>
        <w:t xml:space="preserve"> sums each line item across the ten firms and computes the ratio on the totals. This is a size-weighted ratio, dominated by CONCOR, Mahindra Logistics, Blue Dart and TCI. (ii) The </w:t>
      </w:r>
      <w:r>
        <w:rPr>
          <w:rFonts w:ascii="Calibri" w:cs="Calibri" w:eastAsia="Calibri" w:hAnsi="Calibri"/>
          <w:i/>
          <w:iCs/>
          <w:sz w:val="20"/>
          <w:szCs w:val="20"/>
        </w:rPr>
        <w:t xml:space="preserve">median firm</w:t>
      </w:r>
      <w:r>
        <w:rPr>
          <w:rFonts w:ascii="Calibri" w:cs="Calibri" w:eastAsia="Calibri" w:hAnsi="Calibri"/>
          <w:sz w:val="20"/>
          <w:szCs w:val="20"/>
        </w:rPr>
        <w:t xml:space="preserve"> is the typical firm. We judge each firm mainly against the median, because the mean is distorted by outliers (Sical's negative net worth, Allcargo's restructuring).</w:t>
      </w:r>
    </w:p>
    <w:p>
      <w:pPr>
        <w:pStyle w:val="ListParagraph"/>
        <w:numPr>
          <w:ilvl w:val="0"/>
          <w:numId w:val="2"/>
        </w:numPr>
        <w:spacing w:after="40" w:line="252"/>
        <w:jc w:val="both"/>
      </w:pPr>
      <w:r>
        <w:rPr>
          <w:rFonts w:ascii="Calibri" w:cs="Calibri" w:eastAsia="Calibri" w:hAnsi="Calibri"/>
          <w:b/>
          <w:bCs/>
          <w:sz w:val="20"/>
          <w:szCs w:val="20"/>
        </w:rPr>
        <w:t xml:space="preserve">Definitions and proxies.</w:t>
      </w:r>
      <w:r>
        <w:rPr>
          <w:rFonts w:ascii="Calibri" w:cs="Calibri" w:eastAsia="Calibri" w:hAnsi="Calibri"/>
          <w:sz w:val="20"/>
          <w:szCs w:val="20"/>
        </w:rPr>
        <w:t xml:space="preserve"> The export is condensed, so: current assets = "other assets" and current liabilities = "other liabilities"; debt = total borrowings (including lease liabilities); COGS = direct operating costs; creditors are proxied by other liabilities, so creditor days and the cash-conversion cycle are indicative only; loan repayment = the fall in borrowings; capex = change in (net block + CWIP) + depreciation. No firm has preference capital, so capital gearing equals debt-equity and ordinary ROE equals total ROE. </w:t>
      </w:r>
      <w:r>
        <w:rPr>
          <w:rFonts w:ascii="Calibri" w:cs="Calibri" w:eastAsia="Calibri" w:hAnsi="Calibri"/>
          <w:b/>
          <w:bCs/>
          <w:sz w:val="20"/>
          <w:szCs w:val="20"/>
        </w:rPr>
        <w:t xml:space="preserve">N/M</w:t>
      </w:r>
      <w:r>
        <w:rPr>
          <w:rFonts w:ascii="Calibri" w:cs="Calibri" w:eastAsia="Calibri" w:hAnsi="Calibri"/>
          <w:sz w:val="20"/>
          <w:szCs w:val="20"/>
        </w:rPr>
        <w:t xml:space="preserve"> marks a ratio with a zero or negative denominator; </w:t>
      </w:r>
      <w:r>
        <w:rPr>
          <w:rFonts w:ascii="Calibri" w:cs="Calibri" w:eastAsia="Calibri" w:hAnsi="Calibri"/>
          <w:b/>
          <w:bCs/>
          <w:sz w:val="20"/>
          <w:szCs w:val="20"/>
        </w:rPr>
        <w:t xml:space="preserve">N/C</w:t>
      </w:r>
      <w:r>
        <w:rPr>
          <w:rFonts w:ascii="Calibri" w:cs="Calibri" w:eastAsia="Calibri" w:hAnsi="Calibri"/>
          <w:sz w:val="20"/>
          <w:szCs w:val="20"/>
        </w:rPr>
        <w:t xml:space="preserve"> marks Allcargo's FY20-FY25 price multiples, which are not comparable because its share prices are adjusted for the 2025 demerger.</w:t>
      </w:r>
    </w:p>
    <w:p>
      <w:pPr>
        <w:pStyle w:val="ListParagraph"/>
        <w:numPr>
          <w:ilvl w:val="0"/>
          <w:numId w:val="2"/>
        </w:numPr>
        <w:spacing w:after="40" w:line="252"/>
        <w:jc w:val="both"/>
      </w:pPr>
      <w:r>
        <w:rPr>
          <w:rFonts w:ascii="Calibri" w:cs="Calibri" w:eastAsia="Calibri" w:hAnsi="Calibri"/>
          <w:b/>
          <w:bCs/>
          <w:sz w:val="20"/>
          <w:szCs w:val="20"/>
        </w:rPr>
        <w:t xml:space="preserve">Statistics.</w:t>
      </w:r>
      <w:r>
        <w:rPr>
          <w:rFonts w:ascii="Calibri" w:cs="Calibri" w:eastAsia="Calibri" w:hAnsi="Calibri"/>
          <w:sz w:val="20"/>
          <w:szCs w:val="20"/>
        </w:rPr>
        <w:t xml:space="preserve"> Descriptive statistics use all 70 firm-years. The inferential tests (correlation, OLS regression, paired and Welch t-tests, two-way ANOVA) use the 63 firm-years of nine firms, excluding Sical as an outlier (its net worth was negative or near zero in five of seven years).</w:t>
      </w:r>
    </w:p>
    <w:p>
      <w:pPr>
        <w:pStyle w:val="Heading1"/>
        <w:keepNext/>
        <w:spacing w:after="60" w:before="160"/>
      </w:pPr>
      <w:r>
        <w:rPr>
          <w:rFonts w:ascii="Calibri" w:cs="Calibri" w:eastAsia="Calibri" w:hAnsi="Calibri"/>
          <w:b/>
          <w:bCs/>
          <w:color w:val="1F3864"/>
          <w:sz w:val="24"/>
          <w:szCs w:val="24"/>
        </w:rPr>
        <w:t xml:space="preserve">4. Ratio analysis and comparison with the industry</w:t>
      </w:r>
    </w:p>
    <w:p>
      <w:pPr>
        <w:pStyle w:val="Heading2"/>
        <w:keepNext/>
        <w:spacing w:after="40" w:before="100"/>
      </w:pPr>
      <w:r>
        <w:rPr>
          <w:rFonts w:ascii="Calibri" w:cs="Calibri" w:eastAsia="Calibri" w:hAnsi="Calibri"/>
          <w:b/>
          <w:bCs/>
          <w:color w:val="2F5496"/>
          <w:sz w:val="21"/>
          <w:szCs w:val="21"/>
        </w:rPr>
        <w:t xml:space="preserve">4.1 Liquidity</w:t>
      </w:r>
    </w:p>
    <w:p>
      <w:pPr>
        <w:keepNext/>
        <w:spacing w:after="40" w:before="100"/>
      </w:pPr>
      <w:r>
        <w:rPr>
          <w:rFonts w:ascii="Calibri" w:cs="Calibri" w:eastAsia="Calibri" w:hAnsi="Calibri"/>
          <w:b/>
          <w:bCs/>
          <w:color w:val="1F3864"/>
          <w:sz w:val="16"/>
          <w:szCs w:val="16"/>
        </w:rPr>
        <w:t xml:space="preserve">Table 2: Liquidity ratios (x; defensive interval in days)</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836"/>
        <w:gridCol w:w="836"/>
        <w:gridCol w:w="836"/>
        <w:gridCol w:w="836"/>
        <w:gridCol w:w="836"/>
        <w:gridCol w:w="836"/>
        <w:gridCol w:w="836"/>
        <w:gridCol w:w="836"/>
        <w:gridCol w:w="836"/>
        <w:gridCol w:w="842"/>
      </w:tblGrid>
      <w:tr>
        <w:trPr>
          <w:cantSplit/>
          <w:tblHeader/>
        </w:trPr>
        <w:tc>
          <w:tcPr>
            <w:tcW w:type="dxa" w:w="1500"/>
            <w:vMerge w:val="restart"/>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Firm</w:t>
            </w:r>
          </w:p>
        </w:tc>
        <w:tc>
          <w:tcPr>
            <w:tcW w:type="dxa" w:w="1672"/>
            <w:gridSpan w:val="2"/>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Current ratio</w:t>
            </w:r>
          </w:p>
        </w:tc>
        <w:tc>
          <w:tcPr>
            <w:tcW w:type="dxa" w:w="1672"/>
            <w:gridSpan w:val="2"/>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Quick ratio</w:t>
            </w:r>
          </w:p>
        </w:tc>
        <w:tc>
          <w:tcPr>
            <w:tcW w:type="dxa" w:w="1672"/>
            <w:gridSpan w:val="2"/>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Cash ratio</w:t>
            </w:r>
          </w:p>
        </w:tc>
        <w:tc>
          <w:tcPr>
            <w:tcW w:type="dxa" w:w="1672"/>
            <w:gridSpan w:val="2"/>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Defensive interval</w:t>
            </w:r>
          </w:p>
        </w:tc>
        <w:tc>
          <w:tcPr>
            <w:tcW w:type="dxa" w:w="1678"/>
            <w:gridSpan w:val="2"/>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CFO / CL</w:t>
            </w:r>
          </w:p>
        </w:tc>
      </w:tr>
      <w:tr>
        <w:trPr>
          <w:cantSplit/>
          <w:tblHeader/>
        </w:trPr>
        <w:tc>
          <w:tcPr>
            <w:vMerge w:val="continue"/>
            <w:tcBorders>
              <w:top w:val="single" w:color="BFBFBF" w:sz="4"/>
              <w:left w:val="single" w:color="BFBFBF" w:sz="4"/>
              <w:bottom w:val="single" w:color="BFBFBF" w:sz="4"/>
              <w:right w:val="single" w:color="BFBFBF" w:sz="4"/>
            </w:tcBorders>
          </w:tcPr>
          <w:p/>
        </w:tc>
        <w:tc>
          <w:tcPr>
            <w:tcW w:type="dxa" w:w="836"/>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FY26</w:t>
            </w:r>
          </w:p>
        </w:tc>
        <w:tc>
          <w:tcPr>
            <w:tcW w:type="dxa" w:w="836"/>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7-yr avg</w:t>
            </w:r>
          </w:p>
        </w:tc>
        <w:tc>
          <w:tcPr>
            <w:tcW w:type="dxa" w:w="836"/>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FY26</w:t>
            </w:r>
          </w:p>
        </w:tc>
        <w:tc>
          <w:tcPr>
            <w:tcW w:type="dxa" w:w="836"/>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7-yr avg</w:t>
            </w:r>
          </w:p>
        </w:tc>
        <w:tc>
          <w:tcPr>
            <w:tcW w:type="dxa" w:w="836"/>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FY26</w:t>
            </w:r>
          </w:p>
        </w:tc>
        <w:tc>
          <w:tcPr>
            <w:tcW w:type="dxa" w:w="836"/>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7-yr avg</w:t>
            </w:r>
          </w:p>
        </w:tc>
        <w:tc>
          <w:tcPr>
            <w:tcW w:type="dxa" w:w="836"/>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FY26</w:t>
            </w:r>
          </w:p>
        </w:tc>
        <w:tc>
          <w:tcPr>
            <w:tcW w:type="dxa" w:w="836"/>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7-yr avg</w:t>
            </w:r>
          </w:p>
        </w:tc>
        <w:tc>
          <w:tcPr>
            <w:tcW w:type="dxa" w:w="836"/>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FY26</w:t>
            </w:r>
          </w:p>
        </w:tc>
        <w:tc>
          <w:tcPr>
            <w:tcW w:type="dxa" w:w="842"/>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7-yr avg</w:t>
            </w:r>
          </w:p>
        </w:tc>
      </w:tr>
      <w:tr>
        <w:trPr>
          <w:cantSplit/>
        </w:trPr>
        <w:tc>
          <w:tcPr>
            <w:tcW w:type="dxa" w:w="15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Tiger</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4.62</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4.88</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3.90</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4.17</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0.80</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1.25</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135</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110</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-0.34</w:t>
            </w:r>
          </w:p>
        </w:tc>
        <w:tc>
          <w:tcPr>
            <w:tcW w:type="dxa" w:w="842"/>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0.12</w:t>
            </w:r>
          </w:p>
        </w:tc>
      </w:tr>
      <w:tr>
        <w:trPr>
          <w:cantSplit/>
        </w:trPr>
        <w:tc>
          <w:tcPr>
            <w:tcW w:type="dxa" w:w="15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Allcargo</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2.03</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1.66</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1.19</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1.06</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0.28</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0.28</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112</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91</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0.67</w:t>
            </w:r>
          </w:p>
        </w:tc>
        <w:tc>
          <w:tcPr>
            <w:tcW w:type="dxa" w:w="842"/>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0.33</w:t>
            </w:r>
          </w:p>
        </w:tc>
      </w:tr>
      <w:tr>
        <w:trPr>
          <w:cantSplit/>
        </w:trPr>
        <w:tc>
          <w:tcPr>
            <w:tcW w:type="dxa" w:w="15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Blue Dart</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1.37</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1.21</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0.96</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0.82</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0.20</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0.18</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81</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81</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0.67</w:t>
            </w:r>
          </w:p>
        </w:tc>
        <w:tc>
          <w:tcPr>
            <w:tcW w:type="dxa" w:w="842"/>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0.73</w:t>
            </w:r>
          </w:p>
        </w:tc>
      </w:tr>
      <w:tr>
        <w:trPr>
          <w:cantSplit/>
        </w:trPr>
        <w:tc>
          <w:tcPr>
            <w:tcW w:type="dxa" w:w="15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CONCOR</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4.75</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3.91</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3.13</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2.40</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2.75</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2.19</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203</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194</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1.17</w:t>
            </w:r>
          </w:p>
        </w:tc>
        <w:tc>
          <w:tcPr>
            <w:tcW w:type="dxa" w:w="842"/>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1.25</w:t>
            </w:r>
          </w:p>
        </w:tc>
      </w:tr>
      <w:tr>
        <w:trPr>
          <w:cantSplit/>
        </w:trPr>
        <w:tc>
          <w:tcPr>
            <w:tcW w:type="dxa" w:w="15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Jet Freight</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3.59</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2.74</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2.36</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1.62</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0.31</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0.20</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95</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65</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-0.15</w:t>
            </w:r>
          </w:p>
        </w:tc>
        <w:tc>
          <w:tcPr>
            <w:tcW w:type="dxa" w:w="842"/>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-0.11</w:t>
            </w:r>
          </w:p>
        </w:tc>
      </w:tr>
      <w:tr>
        <w:trPr>
          <w:cantSplit/>
        </w:trPr>
        <w:tc>
          <w:tcPr>
            <w:tcW w:type="dxa" w:w="15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Patel</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3.36</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5.58</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2.97</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4.39</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0.80</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1.05</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105</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131</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0.24</w:t>
            </w:r>
          </w:p>
        </w:tc>
        <w:tc>
          <w:tcPr>
            <w:tcW w:type="dxa" w:w="842"/>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0.11</w:t>
            </w:r>
          </w:p>
        </w:tc>
      </w:tr>
      <w:tr>
        <w:trPr>
          <w:cantSplit/>
        </w:trPr>
        <w:tc>
          <w:tcPr>
            <w:tcW w:type="dxa" w:w="15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Sical</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1.14</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0.72</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0.56</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0.47</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0.23</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0.23</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192</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204</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0.18</w:t>
            </w:r>
          </w:p>
        </w:tc>
        <w:tc>
          <w:tcPr>
            <w:tcW w:type="dxa" w:w="842"/>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0.12</w:t>
            </w:r>
          </w:p>
        </w:tc>
      </w:tr>
      <w:tr>
        <w:trPr>
          <w:cantSplit/>
        </w:trPr>
        <w:tc>
          <w:tcPr>
            <w:tcW w:type="dxa" w:w="15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TCI</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2.42</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2.88</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1.54</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1.98</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0.19</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0.25</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77</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76</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0.74</w:t>
            </w:r>
          </w:p>
        </w:tc>
        <w:tc>
          <w:tcPr>
            <w:tcW w:type="dxa" w:w="842"/>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0.99</w:t>
            </w:r>
          </w:p>
        </w:tc>
      </w:tr>
      <w:tr>
        <w:trPr>
          <w:cantSplit/>
        </w:trPr>
        <w:tc>
          <w:tcPr>
            <w:tcW w:type="dxa" w:w="15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Shreeji</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4.77</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5.10</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4.18</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3.88</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0.33</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0.38</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130</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125</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0.03</w:t>
            </w:r>
          </w:p>
        </w:tc>
        <w:tc>
          <w:tcPr>
            <w:tcW w:type="dxa" w:w="842"/>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0.43</w:t>
            </w:r>
          </w:p>
        </w:tc>
      </w:tr>
      <w:tr>
        <w:trPr>
          <w:cantSplit/>
        </w:trPr>
        <w:tc>
          <w:tcPr>
            <w:tcW w:type="dxa" w:w="15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Mahindra Log.</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1.41</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1.41</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0.69</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0.70</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0.16</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0.13</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49</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59</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0.20</w:t>
            </w:r>
          </w:p>
        </w:tc>
        <w:tc>
          <w:tcPr>
            <w:tcW w:type="dxa" w:w="842"/>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0.20</w:t>
            </w:r>
          </w:p>
        </w:tc>
      </w:tr>
      <w:tr>
        <w:trPr>
          <w:cantSplit/>
        </w:trPr>
        <w:tc>
          <w:tcPr>
            <w:tcW w:type="dxa" w:w="1500"/>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bCs/>
                <w:color w:val="000000"/>
                <w:sz w:val="15"/>
                <w:szCs w:val="15"/>
              </w:rPr>
              <w:t xml:space="preserve">Industry (agg.)</w:t>
            </w:r>
          </w:p>
        </w:tc>
        <w:tc>
          <w:tcPr>
            <w:tcW w:type="dxa" w:w="836"/>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2.44</w:t>
            </w:r>
          </w:p>
        </w:tc>
        <w:tc>
          <w:tcPr>
            <w:tcW w:type="dxa" w:w="836"/>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1.97</w:t>
            </w:r>
          </w:p>
        </w:tc>
        <w:tc>
          <w:tcPr>
            <w:tcW w:type="dxa" w:w="836"/>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1.55</w:t>
            </w:r>
          </w:p>
        </w:tc>
        <w:tc>
          <w:tcPr>
            <w:tcW w:type="dxa" w:w="836"/>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1.24</w:t>
            </w:r>
          </w:p>
        </w:tc>
        <w:tc>
          <w:tcPr>
            <w:tcW w:type="dxa" w:w="836"/>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0.82</w:t>
            </w:r>
          </w:p>
        </w:tc>
        <w:tc>
          <w:tcPr>
            <w:tcW w:type="dxa" w:w="836"/>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0.63</w:t>
            </w:r>
          </w:p>
        </w:tc>
        <w:tc>
          <w:tcPr>
            <w:tcW w:type="dxa" w:w="836"/>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110</w:t>
            </w:r>
          </w:p>
        </w:tc>
        <w:tc>
          <w:tcPr>
            <w:tcW w:type="dxa" w:w="836"/>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104</w:t>
            </w:r>
          </w:p>
        </w:tc>
        <w:tc>
          <w:tcPr>
            <w:tcW w:type="dxa" w:w="836"/>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0.63</w:t>
            </w:r>
          </w:p>
        </w:tc>
        <w:tc>
          <w:tcPr>
            <w:tcW w:type="dxa" w:w="842"/>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0.56</w:t>
            </w:r>
          </w:p>
        </w:tc>
      </w:tr>
      <w:tr>
        <w:trPr>
          <w:cantSplit/>
        </w:trPr>
        <w:tc>
          <w:tcPr>
            <w:tcW w:type="dxa" w:w="1500"/>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bCs/>
                <w:color w:val="000000"/>
                <w:sz w:val="15"/>
                <w:szCs w:val="15"/>
              </w:rPr>
              <w:t xml:space="preserve">Median firm</w:t>
            </w:r>
          </w:p>
        </w:tc>
        <w:tc>
          <w:tcPr>
            <w:tcW w:type="dxa" w:w="836"/>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2.89</w:t>
            </w:r>
          </w:p>
        </w:tc>
        <w:tc>
          <w:tcPr>
            <w:tcW w:type="dxa" w:w="836"/>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2.81</w:t>
            </w:r>
          </w:p>
        </w:tc>
        <w:tc>
          <w:tcPr>
            <w:tcW w:type="dxa" w:w="836"/>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1.95</w:t>
            </w:r>
          </w:p>
        </w:tc>
        <w:tc>
          <w:tcPr>
            <w:tcW w:type="dxa" w:w="836"/>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1.80</w:t>
            </w:r>
          </w:p>
        </w:tc>
        <w:tc>
          <w:tcPr>
            <w:tcW w:type="dxa" w:w="836"/>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0.29</w:t>
            </w:r>
          </w:p>
        </w:tc>
        <w:tc>
          <w:tcPr>
            <w:tcW w:type="dxa" w:w="836"/>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0.26</w:t>
            </w:r>
          </w:p>
        </w:tc>
        <w:tc>
          <w:tcPr>
            <w:tcW w:type="dxa" w:w="836"/>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108</w:t>
            </w:r>
          </w:p>
        </w:tc>
        <w:tc>
          <w:tcPr>
            <w:tcW w:type="dxa" w:w="836"/>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101</w:t>
            </w:r>
          </w:p>
        </w:tc>
        <w:tc>
          <w:tcPr>
            <w:tcW w:type="dxa" w:w="836"/>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0.22</w:t>
            </w:r>
          </w:p>
        </w:tc>
        <w:tc>
          <w:tcPr>
            <w:tcW w:type="dxa" w:w="842"/>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0.27</w:t>
            </w:r>
          </w:p>
        </w:tc>
      </w:tr>
    </w:tbl>
    <w:p>
      <w:pPr>
        <w:spacing w:after="40"/>
      </w:pPr>
    </w:p>
    <w:p>
      <w:pPr>
        <w:spacing w:after="80" w:line="252"/>
        <w:jc w:val="both"/>
      </w:pPr>
      <w:r>
        <w:rPr>
          <w:rFonts w:ascii="Calibri" w:cs="Calibri" w:eastAsia="Calibri" w:hAnsi="Calibri"/>
          <w:sz w:val="20"/>
          <w:szCs w:val="20"/>
        </w:rPr>
        <w:t xml:space="preserve">Liquidity is comfortable and improving. The industry current ratio rose from 1.56x in FY20 to 2.44x in FY26, and the median firm stands at 2.89x. Because logistics firms hold almost no inventory, the quick ratio (median 1.95x) is the more telling measure. On paper the most liquid firms are Shreeji 4.77x, CONCOR 4.75x, Tiger 4.62x, Jet Freight 3.59x. </w:t>
      </w:r>
      <w:r>
        <w:rPr>
          <w:rFonts w:ascii="Calibri" w:cs="Calibri" w:eastAsia="Calibri" w:hAnsi="Calibri"/>
          <w:b/>
          <w:bCs/>
          <w:sz w:val="20"/>
          <w:szCs w:val="20"/>
        </w:rPr>
        <w:t xml:space="preserve">The quality of that liquidity differs sharply, however.</w:t>
      </w:r>
      <w:r>
        <w:rPr>
          <w:rFonts w:ascii="Calibri" w:cs="Calibri" w:eastAsia="Calibri" w:hAnsi="Calibri"/>
          <w:sz w:val="20"/>
          <w:szCs w:val="20"/>
        </w:rPr>
        <w:t xml:space="preserve"> Tiger's current assets are mostly receivables (61.3% of total assets), and its operating cash flow has been negative for three consecutive years (CFO/CL -0.34x in FY26). Jet Freight's CFO is also negative (-0.15x). CONCOR is liquid in cash terms: Rs 3,487 cr of cash (23.0% of assets), a cash ratio of 2.75x and a 203 days defensive interval. Mahindra Logistics (1.41x, quick 0.69x, defensive interval 49 days) and Blue Dart (1.37x) run lean, but both generate steady CFO (CFO/CL 0.20x and 0.67x). Sical has improved from 0.54x to 1.14x but remains the weakest. Net working capital totals Rs 7,571 cr for the industry, of which CONCOR alone holds Rs 4,760 cr; the median firm's is only Rs 316 cr. </w:t>
      </w:r>
      <w:r>
        <w:rPr>
          <w:rFonts w:ascii="Calibri" w:cs="Calibri" w:eastAsia="Calibri" w:hAnsi="Calibri"/>
          <w:b/>
          <w:bCs/>
          <w:sz w:val="20"/>
          <w:szCs w:val="20"/>
        </w:rPr>
        <w:t xml:space="preserve">Conclusion:</w:t>
      </w:r>
      <w:r>
        <w:rPr>
          <w:rFonts w:ascii="Calibri" w:cs="Calibri" w:eastAsia="Calibri" w:hAnsi="Calibri"/>
          <w:sz w:val="20"/>
          <w:szCs w:val="20"/>
        </w:rPr>
        <w:t xml:space="preserve"> across the industry, the current ratio overstates liquidity for receivable-heavy small firms; cash-flow measures (CFO/CL) favour CONCOR, TCI and Blue Dart.</w:t>
      </w:r>
    </w:p>
    <w:p>
      <w:pPr>
        <w:pStyle w:val="Heading2"/>
        <w:keepNext/>
        <w:spacing w:after="40" w:before="100"/>
      </w:pPr>
      <w:r>
        <w:rPr>
          <w:rFonts w:ascii="Calibri" w:cs="Calibri" w:eastAsia="Calibri" w:hAnsi="Calibri"/>
          <w:b/>
          <w:bCs/>
          <w:color w:val="2F5496"/>
          <w:sz w:val="21"/>
          <w:szCs w:val="21"/>
        </w:rPr>
        <w:t xml:space="preserve">4.2 Leverage, solvency and coverage</w:t>
      </w:r>
    </w:p>
    <w:p>
      <w:pPr>
        <w:keepNext/>
        <w:spacing w:after="40" w:before="100"/>
      </w:pPr>
      <w:r>
        <w:rPr>
          <w:rFonts w:ascii="Calibri" w:cs="Calibri" w:eastAsia="Calibri" w:hAnsi="Calibri"/>
          <w:b/>
          <w:bCs/>
          <w:color w:val="1F3864"/>
          <w:sz w:val="16"/>
          <w:szCs w:val="16"/>
        </w:rPr>
        <w:t xml:space="preserve">Table 3: Leverage and coverage (x; proprietary ratio in %)</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836"/>
        <w:gridCol w:w="836"/>
        <w:gridCol w:w="836"/>
        <w:gridCol w:w="836"/>
        <w:gridCol w:w="836"/>
        <w:gridCol w:w="836"/>
        <w:gridCol w:w="836"/>
        <w:gridCol w:w="836"/>
        <w:gridCol w:w="836"/>
        <w:gridCol w:w="842"/>
      </w:tblGrid>
      <w:tr>
        <w:trPr>
          <w:cantSplit/>
          <w:tblHeader/>
        </w:trPr>
        <w:tc>
          <w:tcPr>
            <w:tcW w:type="dxa" w:w="1500"/>
            <w:vMerge w:val="restart"/>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Firm</w:t>
            </w:r>
          </w:p>
        </w:tc>
        <w:tc>
          <w:tcPr>
            <w:tcW w:type="dxa" w:w="1672"/>
            <w:gridSpan w:val="2"/>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Debt-equity</w:t>
            </w:r>
          </w:p>
        </w:tc>
        <w:tc>
          <w:tcPr>
            <w:tcW w:type="dxa" w:w="1672"/>
            <w:gridSpan w:val="2"/>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Proprietary ratio</w:t>
            </w:r>
          </w:p>
        </w:tc>
        <w:tc>
          <w:tcPr>
            <w:tcW w:type="dxa" w:w="1672"/>
            <w:gridSpan w:val="2"/>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Debt / EBITDA</w:t>
            </w:r>
          </w:p>
        </w:tc>
        <w:tc>
          <w:tcPr>
            <w:tcW w:type="dxa" w:w="1672"/>
            <w:gridSpan w:val="2"/>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Interest coverage</w:t>
            </w:r>
          </w:p>
        </w:tc>
        <w:tc>
          <w:tcPr>
            <w:tcW w:type="dxa" w:w="1678"/>
            <w:gridSpan w:val="2"/>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DSCR</w:t>
            </w:r>
          </w:p>
        </w:tc>
      </w:tr>
      <w:tr>
        <w:trPr>
          <w:cantSplit/>
          <w:tblHeader/>
        </w:trPr>
        <w:tc>
          <w:tcPr>
            <w:vMerge w:val="continue"/>
            <w:tcBorders>
              <w:top w:val="single" w:color="BFBFBF" w:sz="4"/>
              <w:left w:val="single" w:color="BFBFBF" w:sz="4"/>
              <w:bottom w:val="single" w:color="BFBFBF" w:sz="4"/>
              <w:right w:val="single" w:color="BFBFBF" w:sz="4"/>
            </w:tcBorders>
          </w:tcPr>
          <w:p/>
        </w:tc>
        <w:tc>
          <w:tcPr>
            <w:tcW w:type="dxa" w:w="836"/>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FY26</w:t>
            </w:r>
          </w:p>
        </w:tc>
        <w:tc>
          <w:tcPr>
            <w:tcW w:type="dxa" w:w="836"/>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7-yr avg</w:t>
            </w:r>
          </w:p>
        </w:tc>
        <w:tc>
          <w:tcPr>
            <w:tcW w:type="dxa" w:w="836"/>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FY26</w:t>
            </w:r>
          </w:p>
        </w:tc>
        <w:tc>
          <w:tcPr>
            <w:tcW w:type="dxa" w:w="836"/>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7-yr avg</w:t>
            </w:r>
          </w:p>
        </w:tc>
        <w:tc>
          <w:tcPr>
            <w:tcW w:type="dxa" w:w="836"/>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FY26</w:t>
            </w:r>
          </w:p>
        </w:tc>
        <w:tc>
          <w:tcPr>
            <w:tcW w:type="dxa" w:w="836"/>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7-yr avg</w:t>
            </w:r>
          </w:p>
        </w:tc>
        <w:tc>
          <w:tcPr>
            <w:tcW w:type="dxa" w:w="836"/>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FY26</w:t>
            </w:r>
          </w:p>
        </w:tc>
        <w:tc>
          <w:tcPr>
            <w:tcW w:type="dxa" w:w="836"/>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7-yr avg</w:t>
            </w:r>
          </w:p>
        </w:tc>
        <w:tc>
          <w:tcPr>
            <w:tcW w:type="dxa" w:w="836"/>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FY26</w:t>
            </w:r>
          </w:p>
        </w:tc>
        <w:tc>
          <w:tcPr>
            <w:tcW w:type="dxa" w:w="842"/>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7-yr avg</w:t>
            </w:r>
          </w:p>
        </w:tc>
      </w:tr>
      <w:tr>
        <w:trPr>
          <w:cantSplit/>
        </w:trPr>
        <w:tc>
          <w:tcPr>
            <w:tcW w:type="dxa" w:w="15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Tiger</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0.32</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0.25</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60.9</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64.6</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1.43</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0.58</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6.53</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13.26</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5.27</w:t>
            </w:r>
          </w:p>
        </w:tc>
        <w:tc>
          <w:tcPr>
            <w:tcW w:type="dxa" w:w="842"/>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8.31</w:t>
            </w:r>
          </w:p>
        </w:tc>
      </w:tr>
      <w:tr>
        <w:trPr>
          <w:cantSplit/>
        </w:trPr>
        <w:tc>
          <w:tcPr>
            <w:tcW w:type="dxa" w:w="15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Allcargo</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1.21</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0.88</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33.1</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34.9</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2.57</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2.36</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1.06</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5.26</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1.83</w:t>
            </w:r>
          </w:p>
        </w:tc>
        <w:tc>
          <w:tcPr>
            <w:tcW w:type="dxa" w:w="842"/>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4.63</w:t>
            </w:r>
          </w:p>
        </w:tc>
      </w:tr>
      <w:tr>
        <w:trPr>
          <w:cantSplit/>
        </w:trPr>
        <w:tc>
          <w:tcPr>
            <w:tcW w:type="dxa" w:w="15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Blue Dart</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0.64</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1.13</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43.1</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33.1</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1.20</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1.31</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4.82</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4.93</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10.15</w:t>
            </w:r>
          </w:p>
        </w:tc>
        <w:tc>
          <w:tcPr>
            <w:tcW w:type="dxa" w:w="842"/>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6.38</w:t>
            </w:r>
          </w:p>
        </w:tc>
      </w:tr>
      <w:tr>
        <w:trPr>
          <w:cantSplit/>
        </w:trPr>
        <w:tc>
          <w:tcPr>
            <w:tcW w:type="dxa" w:w="15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CONCOR</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0.07</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0.06</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85.3</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84.1</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0.41</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0.36</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22.02</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21.18</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24.65</w:t>
            </w:r>
          </w:p>
        </w:tc>
        <w:tc>
          <w:tcPr>
            <w:tcW w:type="dxa" w:w="842"/>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20.89</w:t>
            </w:r>
          </w:p>
        </w:tc>
      </w:tr>
      <w:tr>
        <w:trPr>
          <w:cantSplit/>
        </w:trPr>
        <w:tc>
          <w:tcPr>
            <w:tcW w:type="dxa" w:w="15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Jet Freight</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1.02</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1.36</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37.5</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30.6</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3.61</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4.83</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2.66</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1.43</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2.24</w:t>
            </w:r>
          </w:p>
        </w:tc>
        <w:tc>
          <w:tcPr>
            <w:tcW w:type="dxa" w:w="842"/>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1.34</w:t>
            </w:r>
          </w:p>
        </w:tc>
      </w:tr>
      <w:tr>
        <w:trPr>
          <w:cantSplit/>
        </w:trPr>
        <w:tc>
          <w:tcPr>
            <w:tcW w:type="dxa" w:w="15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Patel</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0.05</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0.30</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75.6</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66.2</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0.47</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2.80</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30.46</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6.90</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1.75</w:t>
            </w:r>
          </w:p>
        </w:tc>
        <w:tc>
          <w:tcPr>
            <w:tcW w:type="dxa" w:w="842"/>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1.03</w:t>
            </w:r>
          </w:p>
        </w:tc>
      </w:tr>
      <w:tr>
        <w:trPr>
          <w:cantSplit/>
        </w:trPr>
        <w:tc>
          <w:tcPr>
            <w:tcW w:type="dxa" w:w="15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Sical</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3.69</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8.25</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14.5</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-8.0</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2.84</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54.77</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1.79</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-8.41</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0.84</w:t>
            </w:r>
          </w:p>
        </w:tc>
        <w:tc>
          <w:tcPr>
            <w:tcW w:type="dxa" w:w="842"/>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-1.54</w:t>
            </w:r>
          </w:p>
        </w:tc>
      </w:tr>
      <w:tr>
        <w:trPr>
          <w:cantSplit/>
        </w:trPr>
        <w:tc>
          <w:tcPr>
            <w:tcW w:type="dxa" w:w="15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TCI</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0.12</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0.16</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73.7</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73.5</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0.48</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0.60</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22.93</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22.14</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26.61</w:t>
            </w:r>
          </w:p>
        </w:tc>
        <w:tc>
          <w:tcPr>
            <w:tcW w:type="dxa" w:w="842"/>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18.50</w:t>
            </w:r>
          </w:p>
        </w:tc>
      </w:tr>
      <w:tr>
        <w:trPr>
          <w:cantSplit/>
        </w:trPr>
        <w:tc>
          <w:tcPr>
            <w:tcW w:type="dxa" w:w="15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Shreeji</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0.67</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1.22</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50.3</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40.3</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3.42</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3.42</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1.86</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2.79</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2.00</w:t>
            </w:r>
          </w:p>
        </w:tc>
        <w:tc>
          <w:tcPr>
            <w:tcW w:type="dxa" w:w="842"/>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2.81</w:t>
            </w:r>
          </w:p>
        </w:tc>
      </w:tr>
      <w:tr>
        <w:trPr>
          <w:cantSplit/>
        </w:trPr>
        <w:tc>
          <w:tcPr>
            <w:tcW w:type="dxa" w:w="15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Mahindra Log.</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0.55</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1.01</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37.8</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28.0</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1.68</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2.22</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1.44</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2.15</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1.21</w:t>
            </w:r>
          </w:p>
        </w:tc>
        <w:tc>
          <w:tcPr>
            <w:tcW w:type="dxa" w:w="842"/>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4.67</w:t>
            </w:r>
          </w:p>
        </w:tc>
      </w:tr>
      <w:tr>
        <w:trPr>
          <w:cantSplit/>
        </w:trPr>
        <w:tc>
          <w:tcPr>
            <w:tcW w:type="dxa" w:w="1500"/>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bCs/>
                <w:color w:val="000000"/>
                <w:sz w:val="15"/>
                <w:szCs w:val="15"/>
              </w:rPr>
              <w:t xml:space="preserve">Industry (agg.)</w:t>
            </w:r>
          </w:p>
        </w:tc>
        <w:tc>
          <w:tcPr>
            <w:tcW w:type="dxa" w:w="836"/>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0.23</w:t>
            </w:r>
          </w:p>
        </w:tc>
        <w:tc>
          <w:tcPr>
            <w:tcW w:type="dxa" w:w="836"/>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0.31</w:t>
            </w:r>
          </w:p>
        </w:tc>
        <w:tc>
          <w:tcPr>
            <w:tcW w:type="dxa" w:w="836"/>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66.9</w:t>
            </w:r>
          </w:p>
        </w:tc>
        <w:tc>
          <w:tcPr>
            <w:tcW w:type="dxa" w:w="836"/>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58.7</w:t>
            </w:r>
          </w:p>
        </w:tc>
        <w:tc>
          <w:tcPr>
            <w:tcW w:type="dxa" w:w="836"/>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0.91</w:t>
            </w:r>
          </w:p>
        </w:tc>
        <w:tc>
          <w:tcPr>
            <w:tcW w:type="dxa" w:w="836"/>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1.42</w:t>
            </w:r>
          </w:p>
        </w:tc>
        <w:tc>
          <w:tcPr>
            <w:tcW w:type="dxa" w:w="836"/>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7.36</w:t>
            </w:r>
          </w:p>
        </w:tc>
        <w:tc>
          <w:tcPr>
            <w:tcW w:type="dxa" w:w="836"/>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6.71</w:t>
            </w:r>
          </w:p>
        </w:tc>
        <w:tc>
          <w:tcPr>
            <w:tcW w:type="dxa" w:w="836"/>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5.02</w:t>
            </w:r>
          </w:p>
        </w:tc>
        <w:tc>
          <w:tcPr>
            <w:tcW w:type="dxa" w:w="842"/>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3.59</w:t>
            </w:r>
          </w:p>
        </w:tc>
      </w:tr>
      <w:tr>
        <w:trPr>
          <w:cantSplit/>
        </w:trPr>
        <w:tc>
          <w:tcPr>
            <w:tcW w:type="dxa" w:w="1500"/>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bCs/>
                <w:color w:val="000000"/>
                <w:sz w:val="15"/>
                <w:szCs w:val="15"/>
              </w:rPr>
              <w:t xml:space="preserve">Median firm</w:t>
            </w:r>
          </w:p>
        </w:tc>
        <w:tc>
          <w:tcPr>
            <w:tcW w:type="dxa" w:w="836"/>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0.60</w:t>
            </w:r>
          </w:p>
        </w:tc>
        <w:tc>
          <w:tcPr>
            <w:tcW w:type="dxa" w:w="836"/>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0.95</w:t>
            </w:r>
          </w:p>
        </w:tc>
        <w:tc>
          <w:tcPr>
            <w:tcW w:type="dxa" w:w="836"/>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46.7</w:t>
            </w:r>
          </w:p>
        </w:tc>
        <w:tc>
          <w:tcPr>
            <w:tcW w:type="dxa" w:w="836"/>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37.6</w:t>
            </w:r>
          </w:p>
        </w:tc>
        <w:tc>
          <w:tcPr>
            <w:tcW w:type="dxa" w:w="836"/>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1.56</w:t>
            </w:r>
          </w:p>
        </w:tc>
        <w:tc>
          <w:tcPr>
            <w:tcW w:type="dxa" w:w="836"/>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2.29</w:t>
            </w:r>
          </w:p>
        </w:tc>
        <w:tc>
          <w:tcPr>
            <w:tcW w:type="dxa" w:w="836"/>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3.74</w:t>
            </w:r>
          </w:p>
        </w:tc>
        <w:tc>
          <w:tcPr>
            <w:tcW w:type="dxa" w:w="836"/>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5.09</w:t>
            </w:r>
          </w:p>
        </w:tc>
        <w:tc>
          <w:tcPr>
            <w:tcW w:type="dxa" w:w="836"/>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2.12</w:t>
            </w:r>
          </w:p>
        </w:tc>
        <w:tc>
          <w:tcPr>
            <w:tcW w:type="dxa" w:w="842"/>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4.65</w:t>
            </w:r>
          </w:p>
        </w:tc>
      </w:tr>
    </w:tbl>
    <w:p>
      <w:pPr>
        <w:spacing w:after="40"/>
      </w:pPr>
    </w:p>
    <w:p>
      <w:pPr>
        <w:spacing w:after="80" w:line="252"/>
        <w:jc w:val="both"/>
      </w:pPr>
      <w:r>
        <w:rPr>
          <w:rFonts w:ascii="Calibri" w:cs="Calibri" w:eastAsia="Calibri" w:hAnsi="Calibri"/>
          <w:sz w:val="20"/>
          <w:szCs w:val="20"/>
        </w:rPr>
        <w:t xml:space="preserve">The industry is conservatively financed. Aggregate debt-equity is 0.23x (FY20 0.29x, peak 0.44x in FY21) and shareholders fund 66.9% of assets. The median firm is more geared (0.60x), because small firms rely on working-capital loans. CONCOR (0.07x), Patel (0.05x, down from 0.51x in FY20) and TCI (0.12x) are virtually debt-free. The leveraged firms are Sical (3.69x), Allcargo (1.21x) and Jet Freight (1.02x). Blue Dart and Mahindra Logistics carry large lease liabilities inside borrowings. Blue Dart has deleveraged steadily (2.57x in FY21 to 0.64x). Mahindra Logistics' gearing rose to 1.98x by FY25 and was cut to 0.55x by the FY26 rights issue (equity capital up from Rs 72 cr to Rs 99 cr). Coverage separates the firms more sharply than structure does. The industry earns 7.36x its interest (median 3.74x), led by Patel (30.46x), TCI (22.93x) and CONCOR (22.02x). </w:t>
      </w:r>
      <w:r>
        <w:rPr>
          <w:rFonts w:ascii="Calibri" w:cs="Calibri" w:eastAsia="Calibri" w:hAnsi="Calibri"/>
          <w:b/>
          <w:bCs/>
          <w:sz w:val="20"/>
          <w:szCs w:val="20"/>
        </w:rPr>
        <w:t xml:space="preserve">Allcargo (1.06x), Mahindra Logistics (1.44x), Sical (1.79x) and Shreeji (1.86x) cover interest less than twice</w:t>
      </w:r>
      <w:r>
        <w:rPr>
          <w:rFonts w:ascii="Calibri" w:cs="Calibri" w:eastAsia="Calibri" w:hAnsi="Calibri"/>
          <w:sz w:val="20"/>
          <w:szCs w:val="20"/>
        </w:rPr>
        <w:t xml:space="preserve">, and Sical's DSCR of 0.84x means its earnings before interest and depreciation do not cover interest plus repayments. Debt/EBITDA tells the same story: Jet Freight (3.61x) and Shreeji (3.42x) carry much more debt per rupee of EBITDA than the industry (0.91x).</w:t>
      </w:r>
    </w:p>
    <w:p>
      <w:pPr>
        <w:spacing w:after="80" w:line="252"/>
        <w:jc w:val="both"/>
      </w:pPr>
      <w:r>
        <w:rPr>
          <w:rFonts w:ascii="Calibri" w:cs="Calibri" w:eastAsia="Calibri" w:hAnsi="Calibri"/>
          <w:b/>
          <w:bCs/>
          <w:sz w:val="20"/>
          <w:szCs w:val="20"/>
        </w:rPr>
        <w:t xml:space="preserve">Other structural and coverage measures</w:t>
      </w:r>
      <w:r>
        <w:rPr>
          <w:rFonts w:ascii="Calibri" w:cs="Calibri" w:eastAsia="Calibri" w:hAnsi="Calibri"/>
          <w:sz w:val="20"/>
          <w:szCs w:val="20"/>
        </w:rPr>
        <w:t xml:space="preserve"> reinforce this. On Prasanna Chandra's broader definition (total liabilities / equity), the industry is at 0.49x but the median firm at 1.16x. Mahindra Logistics (1.64x) and Blue Dart (1.32x) look far more geared on this basis, because payables and provisions fund much of their operations. Debt-to-capital is highest at Sical (0.79x), Allcargo (0.55x) and Jet Freight (0.50x); capital gearing equals debt-equity, as there is no preference capital. Once the loan-repayment proxy is added, the </w:t>
      </w:r>
      <w:r>
        <w:rPr>
          <w:rFonts w:ascii="Calibri" w:cs="Calibri" w:eastAsia="Calibri" w:hAnsi="Calibri"/>
          <w:b/>
          <w:bCs/>
          <w:sz w:val="20"/>
          <w:szCs w:val="20"/>
        </w:rPr>
        <w:t xml:space="preserve">fixed-charges coverage</w:t>
      </w:r>
      <w:r>
        <w:rPr>
          <w:rFonts w:ascii="Calibri" w:cs="Calibri" w:eastAsia="Calibri" w:hAnsi="Calibri"/>
          <w:sz w:val="20"/>
          <w:szCs w:val="20"/>
        </w:rPr>
        <w:t xml:space="preserve"> of Mahindra Logistics (0.51x) and Sical (0.80x) falls below 1x. </w:t>
      </w:r>
      <w:r>
        <w:rPr>
          <w:rFonts w:ascii="Calibri" w:cs="Calibri" w:eastAsia="Calibri" w:hAnsi="Calibri"/>
          <w:b/>
          <w:bCs/>
          <w:sz w:val="20"/>
          <w:szCs w:val="20"/>
        </w:rPr>
        <w:t xml:space="preserve">Total cash-flow coverage</w:t>
      </w:r>
      <w:r>
        <w:rPr>
          <w:rFonts w:ascii="Calibri" w:cs="Calibri" w:eastAsia="Calibri" w:hAnsi="Calibri"/>
          <w:sz w:val="20"/>
          <w:szCs w:val="20"/>
        </w:rPr>
        <w:t xml:space="preserve"> is negative for Tiger (-1.90x) and Jet Freight (-0.35x), whose operating cash flow was negative. CONCOR (1.18x) and TCI (1.00x) fund all their capex from CFO (</w:t>
      </w:r>
      <w:r>
        <w:rPr>
          <w:rFonts w:ascii="Calibri" w:cs="Calibri" w:eastAsia="Calibri" w:hAnsi="Calibri"/>
          <w:b/>
          <w:bCs/>
          <w:sz w:val="20"/>
          <w:szCs w:val="20"/>
        </w:rPr>
        <w:t xml:space="preserve">capital expenditure ratio</w:t>
      </w:r>
      <w:r>
        <w:rPr>
          <w:rFonts w:ascii="Calibri" w:cs="Calibri" w:eastAsia="Calibri" w:hAnsi="Calibri"/>
          <w:sz w:val="20"/>
          <w:szCs w:val="20"/>
        </w:rPr>
        <w:t xml:space="preserve"> at or above 1); Mahindra Logistics covers only 0.53x of it. Dividend coverage is sound at TCI (5.94x) and Blue Dart (4.16x), but Mahindra Logistics' FY26 dividend was covered only 0.09x by earnings.</w:t>
      </w:r>
    </w:p>
    <w:p>
      <w:pPr>
        <w:pStyle w:val="Heading2"/>
        <w:keepNext/>
        <w:spacing w:after="40" w:before="100"/>
      </w:pPr>
      <w:r>
        <w:rPr>
          <w:rFonts w:ascii="Calibri" w:cs="Calibri" w:eastAsia="Calibri" w:hAnsi="Calibri"/>
          <w:b/>
          <w:bCs/>
          <w:color w:val="2F5496"/>
          <w:sz w:val="21"/>
          <w:szCs w:val="21"/>
        </w:rPr>
        <w:t xml:space="preserve">4.3 Turnover and activity</w:t>
      </w:r>
    </w:p>
    <w:p>
      <w:pPr>
        <w:keepNext/>
        <w:spacing w:after="40" w:before="100"/>
      </w:pPr>
      <w:r>
        <w:rPr>
          <w:rFonts w:ascii="Calibri" w:cs="Calibri" w:eastAsia="Calibri" w:hAnsi="Calibri"/>
          <w:b/>
          <w:bCs/>
          <w:color w:val="1F3864"/>
          <w:sz w:val="16"/>
          <w:szCs w:val="16"/>
        </w:rPr>
        <w:t xml:space="preserve">Table 4: Activity ratios (days; turnover in x). Creditor days and CCC use the "other liabilities" proxy.</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836"/>
        <w:gridCol w:w="836"/>
        <w:gridCol w:w="836"/>
        <w:gridCol w:w="836"/>
        <w:gridCol w:w="836"/>
        <w:gridCol w:w="836"/>
        <w:gridCol w:w="836"/>
        <w:gridCol w:w="836"/>
        <w:gridCol w:w="836"/>
        <w:gridCol w:w="842"/>
      </w:tblGrid>
      <w:tr>
        <w:trPr>
          <w:cantSplit/>
          <w:tblHeader/>
        </w:trPr>
        <w:tc>
          <w:tcPr>
            <w:tcW w:type="dxa" w:w="1500"/>
            <w:vMerge w:val="restart"/>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Firm</w:t>
            </w:r>
          </w:p>
        </w:tc>
        <w:tc>
          <w:tcPr>
            <w:tcW w:type="dxa" w:w="1672"/>
            <w:gridSpan w:val="2"/>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Collection period</w:t>
            </w:r>
          </w:p>
        </w:tc>
        <w:tc>
          <w:tcPr>
            <w:tcW w:type="dxa" w:w="1672"/>
            <w:gridSpan w:val="2"/>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Payment period*</w:t>
            </w:r>
          </w:p>
        </w:tc>
        <w:tc>
          <w:tcPr>
            <w:tcW w:type="dxa" w:w="1672"/>
            <w:gridSpan w:val="2"/>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Cash conv. cycle*</w:t>
            </w:r>
          </w:p>
        </w:tc>
        <w:tc>
          <w:tcPr>
            <w:tcW w:type="dxa" w:w="1672"/>
            <w:gridSpan w:val="2"/>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Fixed asset t/o</w:t>
            </w:r>
          </w:p>
        </w:tc>
        <w:tc>
          <w:tcPr>
            <w:tcW w:type="dxa" w:w="1678"/>
            <w:gridSpan w:val="2"/>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Total asset t/o</w:t>
            </w:r>
          </w:p>
        </w:tc>
      </w:tr>
      <w:tr>
        <w:trPr>
          <w:cantSplit/>
          <w:tblHeader/>
        </w:trPr>
        <w:tc>
          <w:tcPr>
            <w:vMerge w:val="continue"/>
            <w:tcBorders>
              <w:top w:val="single" w:color="BFBFBF" w:sz="4"/>
              <w:left w:val="single" w:color="BFBFBF" w:sz="4"/>
              <w:bottom w:val="single" w:color="BFBFBF" w:sz="4"/>
              <w:right w:val="single" w:color="BFBFBF" w:sz="4"/>
            </w:tcBorders>
          </w:tcPr>
          <w:p/>
        </w:tc>
        <w:tc>
          <w:tcPr>
            <w:tcW w:type="dxa" w:w="836"/>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FY26</w:t>
            </w:r>
          </w:p>
        </w:tc>
        <w:tc>
          <w:tcPr>
            <w:tcW w:type="dxa" w:w="836"/>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7-yr avg</w:t>
            </w:r>
          </w:p>
        </w:tc>
        <w:tc>
          <w:tcPr>
            <w:tcW w:type="dxa" w:w="836"/>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FY26</w:t>
            </w:r>
          </w:p>
        </w:tc>
        <w:tc>
          <w:tcPr>
            <w:tcW w:type="dxa" w:w="836"/>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7-yr avg</w:t>
            </w:r>
          </w:p>
        </w:tc>
        <w:tc>
          <w:tcPr>
            <w:tcW w:type="dxa" w:w="836"/>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FY26</w:t>
            </w:r>
          </w:p>
        </w:tc>
        <w:tc>
          <w:tcPr>
            <w:tcW w:type="dxa" w:w="836"/>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7-yr avg</w:t>
            </w:r>
          </w:p>
        </w:tc>
        <w:tc>
          <w:tcPr>
            <w:tcW w:type="dxa" w:w="836"/>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FY26</w:t>
            </w:r>
          </w:p>
        </w:tc>
        <w:tc>
          <w:tcPr>
            <w:tcW w:type="dxa" w:w="836"/>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7-yr avg</w:t>
            </w:r>
          </w:p>
        </w:tc>
        <w:tc>
          <w:tcPr>
            <w:tcW w:type="dxa" w:w="836"/>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FY26</w:t>
            </w:r>
          </w:p>
        </w:tc>
        <w:tc>
          <w:tcPr>
            <w:tcW w:type="dxa" w:w="842"/>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7-yr avg</w:t>
            </w:r>
          </w:p>
        </w:tc>
      </w:tr>
      <w:tr>
        <w:trPr>
          <w:cantSplit/>
        </w:trPr>
        <w:tc>
          <w:tcPr>
            <w:tcW w:type="dxa" w:w="15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Tiger</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84</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76</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27</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31</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57</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46</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61.23</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47.07</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2.50</w:t>
            </w:r>
          </w:p>
        </w:tc>
        <w:tc>
          <w:tcPr>
            <w:tcW w:type="dxa" w:w="842"/>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3.07</w:t>
            </w:r>
          </w:p>
        </w:tc>
      </w:tr>
      <w:tr>
        <w:trPr>
          <w:cantSplit/>
        </w:trPr>
        <w:tc>
          <w:tcPr>
            <w:tcW w:type="dxa" w:w="15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Allcargo</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71</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84</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105</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143</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-34</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-59</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2.67</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4.19</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1.18</w:t>
            </w:r>
          </w:p>
        </w:tc>
        <w:tc>
          <w:tcPr>
            <w:tcW w:type="dxa" w:w="842"/>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1.58</w:t>
            </w:r>
          </w:p>
        </w:tc>
      </w:tr>
      <w:tr>
        <w:trPr>
          <w:cantSplit/>
        </w:trPr>
        <w:tc>
          <w:tcPr>
            <w:tcW w:type="dxa" w:w="15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Blue Dart</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51</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50</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112</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154</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-57</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-99</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3.19</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2.98</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1.58</w:t>
            </w:r>
          </w:p>
        </w:tc>
        <w:tc>
          <w:tcPr>
            <w:tcW w:type="dxa" w:w="842"/>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1.52</w:t>
            </w:r>
          </w:p>
        </w:tc>
      </w:tr>
      <w:tr>
        <w:trPr>
          <w:cantSplit/>
        </w:trPr>
        <w:tc>
          <w:tcPr>
            <w:tcW w:type="dxa" w:w="15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CONCOR</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18</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11</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76</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106</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-55</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-92</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1.32</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1.36</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0.61</w:t>
            </w:r>
          </w:p>
        </w:tc>
        <w:tc>
          <w:tcPr>
            <w:tcW w:type="dxa" w:w="842"/>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0.59</w:t>
            </w:r>
          </w:p>
        </w:tc>
      </w:tr>
      <w:tr>
        <w:trPr>
          <w:cantSplit/>
        </w:trPr>
        <w:tc>
          <w:tcPr>
            <w:tcW w:type="dxa" w:w="15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Jet Freight</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72</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54</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45</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41</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27</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13</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17.51</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16.06</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2.36</w:t>
            </w:r>
          </w:p>
        </w:tc>
        <w:tc>
          <w:tcPr>
            <w:tcW w:type="dxa" w:w="842"/>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3.11</w:t>
            </w:r>
          </w:p>
        </w:tc>
      </w:tr>
      <w:tr>
        <w:trPr>
          <w:cantSplit/>
        </w:trPr>
        <w:tc>
          <w:tcPr>
            <w:tcW w:type="dxa" w:w="15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Patel</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72</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99</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38</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36</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34</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63</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7.68</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5.72</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2.16</w:t>
            </w:r>
          </w:p>
        </w:tc>
        <w:tc>
          <w:tcPr>
            <w:tcW w:type="dxa" w:w="842"/>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1.60</w:t>
            </w:r>
          </w:p>
        </w:tc>
      </w:tr>
      <w:tr>
        <w:trPr>
          <w:cantSplit/>
        </w:trPr>
        <w:tc>
          <w:tcPr>
            <w:tcW w:type="dxa" w:w="15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Sical</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80</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116</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389</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652</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-308</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-528</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0.67</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0.58</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0.44</w:t>
            </w:r>
          </w:p>
        </w:tc>
        <w:tc>
          <w:tcPr>
            <w:tcW w:type="dxa" w:w="842"/>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0.30</w:t>
            </w:r>
          </w:p>
        </w:tc>
      </w:tr>
      <w:tr>
        <w:trPr>
          <w:cantSplit/>
        </w:trPr>
        <w:tc>
          <w:tcPr>
            <w:tcW w:type="dxa" w:w="15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TCI</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57</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58</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52</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41</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6</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18</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4.56</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4.33</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1.53</w:t>
            </w:r>
          </w:p>
        </w:tc>
        <w:tc>
          <w:tcPr>
            <w:tcW w:type="dxa" w:w="842"/>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1.71</w:t>
            </w:r>
          </w:p>
        </w:tc>
      </w:tr>
      <w:tr>
        <w:trPr>
          <w:cantSplit/>
        </w:trPr>
        <w:tc>
          <w:tcPr>
            <w:tcW w:type="dxa" w:w="15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Shreeji</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106</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98</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33</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35</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73</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71</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8.71</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7.23</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2.00</w:t>
            </w:r>
          </w:p>
        </w:tc>
        <w:tc>
          <w:tcPr>
            <w:tcW w:type="dxa" w:w="842"/>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1.82</w:t>
            </w:r>
          </w:p>
        </w:tc>
      </w:tr>
      <w:tr>
        <w:trPr>
          <w:cantSplit/>
        </w:trPr>
        <w:tc>
          <w:tcPr>
            <w:tcW w:type="dxa" w:w="15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Mahindra Log.</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34</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45</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77</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90</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-43</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-45</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6.74</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10.23</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2.46</w:t>
            </w:r>
          </w:p>
        </w:tc>
        <w:tc>
          <w:tcPr>
            <w:tcW w:type="dxa" w:w="842"/>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2.33</w:t>
            </w:r>
          </w:p>
        </w:tc>
      </w:tr>
      <w:tr>
        <w:trPr>
          <w:cantSplit/>
        </w:trPr>
        <w:tc>
          <w:tcPr>
            <w:tcW w:type="dxa" w:w="1500"/>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bCs/>
                <w:color w:val="000000"/>
                <w:sz w:val="15"/>
                <w:szCs w:val="15"/>
              </w:rPr>
              <w:t xml:space="preserve">Industry (agg.)</w:t>
            </w:r>
          </w:p>
        </w:tc>
        <w:tc>
          <w:tcPr>
            <w:tcW w:type="dxa" w:w="836"/>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42</w:t>
            </w:r>
          </w:p>
        </w:tc>
        <w:tc>
          <w:tcPr>
            <w:tcW w:type="dxa" w:w="836"/>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46</w:t>
            </w:r>
          </w:p>
        </w:tc>
        <w:tc>
          <w:tcPr>
            <w:tcW w:type="dxa" w:w="836"/>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81</w:t>
            </w:r>
          </w:p>
        </w:tc>
        <w:tc>
          <w:tcPr>
            <w:tcW w:type="dxa" w:w="836"/>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103</w:t>
            </w:r>
          </w:p>
        </w:tc>
        <w:tc>
          <w:tcPr>
            <w:tcW w:type="dxa" w:w="836"/>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-37</w:t>
            </w:r>
          </w:p>
        </w:tc>
        <w:tc>
          <w:tcPr>
            <w:tcW w:type="dxa" w:w="836"/>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-56</w:t>
            </w:r>
          </w:p>
        </w:tc>
        <w:tc>
          <w:tcPr>
            <w:tcW w:type="dxa" w:w="836"/>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2.52</w:t>
            </w:r>
          </w:p>
        </w:tc>
        <w:tc>
          <w:tcPr>
            <w:tcW w:type="dxa" w:w="836"/>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2.78</w:t>
            </w:r>
          </w:p>
        </w:tc>
        <w:tc>
          <w:tcPr>
            <w:tcW w:type="dxa" w:w="836"/>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1.11</w:t>
            </w:r>
          </w:p>
        </w:tc>
        <w:tc>
          <w:tcPr>
            <w:tcW w:type="dxa" w:w="842"/>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1.16</w:t>
            </w:r>
          </w:p>
        </w:tc>
      </w:tr>
      <w:tr>
        <w:trPr>
          <w:cantSplit/>
        </w:trPr>
        <w:tc>
          <w:tcPr>
            <w:tcW w:type="dxa" w:w="1500"/>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bCs/>
                <w:color w:val="000000"/>
                <w:sz w:val="15"/>
                <w:szCs w:val="15"/>
              </w:rPr>
              <w:t xml:space="preserve">Median firm</w:t>
            </w:r>
          </w:p>
        </w:tc>
        <w:tc>
          <w:tcPr>
            <w:tcW w:type="dxa" w:w="836"/>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71</w:t>
            </w:r>
          </w:p>
        </w:tc>
        <w:tc>
          <w:tcPr>
            <w:tcW w:type="dxa" w:w="836"/>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67</w:t>
            </w:r>
          </w:p>
        </w:tc>
        <w:tc>
          <w:tcPr>
            <w:tcW w:type="dxa" w:w="836"/>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64</w:t>
            </w:r>
          </w:p>
        </w:tc>
        <w:tc>
          <w:tcPr>
            <w:tcW w:type="dxa" w:w="836"/>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65</w:t>
            </w:r>
          </w:p>
        </w:tc>
        <w:tc>
          <w:tcPr>
            <w:tcW w:type="dxa" w:w="836"/>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-14</w:t>
            </w:r>
          </w:p>
        </w:tc>
        <w:tc>
          <w:tcPr>
            <w:tcW w:type="dxa" w:w="836"/>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-16</w:t>
            </w:r>
          </w:p>
        </w:tc>
        <w:tc>
          <w:tcPr>
            <w:tcW w:type="dxa" w:w="836"/>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5.65</w:t>
            </w:r>
          </w:p>
        </w:tc>
        <w:tc>
          <w:tcPr>
            <w:tcW w:type="dxa" w:w="836"/>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5.03</w:t>
            </w:r>
          </w:p>
        </w:tc>
        <w:tc>
          <w:tcPr>
            <w:tcW w:type="dxa" w:w="836"/>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1.79</w:t>
            </w:r>
          </w:p>
        </w:tc>
        <w:tc>
          <w:tcPr>
            <w:tcW w:type="dxa" w:w="842"/>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1.65</w:t>
            </w:r>
          </w:p>
        </w:tc>
      </w:tr>
    </w:tbl>
    <w:p>
      <w:pPr>
        <w:spacing w:after="40"/>
      </w:pPr>
    </w:p>
    <w:p>
      <w:pPr>
        <w:spacing w:after="80" w:line="252"/>
        <w:jc w:val="both"/>
      </w:pPr>
      <w:r>
        <w:rPr>
          <w:rFonts w:ascii="Calibri" w:cs="Calibri" w:eastAsia="Calibri" w:hAnsi="Calibri"/>
          <w:sz w:val="20"/>
          <w:szCs w:val="20"/>
        </w:rPr>
        <w:t xml:space="preserve">Collection discipline is the biggest operational weakness of the smaller firms. The median firm collects in 71 days against an aggregate of 42 days: the large firms collect much faster (CONCOR 18 days, Mahindra Logistics 34 days, Blue Dart 51 days). Shreeji (106 days), Tiger (84 days), Sical (80 days) and Jet Freight (72 days) fund their customers for between two and three and a half months. On the proxy measure, the large networks have </w:t>
      </w:r>
      <w:r>
        <w:rPr>
          <w:rFonts w:ascii="Calibri" w:cs="Calibri" w:eastAsia="Calibri" w:hAnsi="Calibri"/>
          <w:i/>
          <w:iCs/>
          <w:sz w:val="20"/>
          <w:szCs w:val="20"/>
        </w:rPr>
        <w:t xml:space="preserve">negative</w:t>
      </w:r>
      <w:r>
        <w:rPr>
          <w:rFonts w:ascii="Calibri" w:cs="Calibri" w:eastAsia="Calibri" w:hAnsi="Calibri"/>
          <w:sz w:val="20"/>
          <w:szCs w:val="20"/>
        </w:rPr>
        <w:t xml:space="preserve"> cash-conversion cycles: they are financed by suppliers, deposits and other liabilities. Small carriers carry positive cycles (Shreeji 73 days, Tiger 57 days), which explains their reliance on short-term debt. Asset turnover mirrors the business models in Section 2.3. Fixed-asset turnover ranges from 61.23x (Tiger, almost no owned assets) to 1.32x (CONCOR) and 0.67x (Sical). Total-asset turnover for the median firm (1.79x) is well above the aggregate (1.11x), which is weighed down by CONCOR's large asset base. </w:t>
      </w:r>
      <w:r>
        <w:rPr>
          <w:rFonts w:ascii="Calibri" w:cs="Calibri" w:eastAsia="Calibri" w:hAnsi="Calibri"/>
          <w:b/>
          <w:bCs/>
          <w:sz w:val="20"/>
          <w:szCs w:val="20"/>
        </w:rPr>
        <w:t xml:space="preserve">Inventory turnover</w:t>
      </w:r>
      <w:r>
        <w:rPr>
          <w:rFonts w:ascii="Calibri" w:cs="Calibri" w:eastAsia="Calibri" w:hAnsi="Calibri"/>
          <w:sz w:val="20"/>
          <w:szCs w:val="20"/>
        </w:rPr>
        <w:t xml:space="preserve"> is N/M for five firms that hold no inventory. Where inventory exists, it is stores and consumables turned over in under a week (Blue Dart 69.61x, CONCOR 117.65x), which confirms the service nature of the industry. Capital turnover (median 2.30x, Mahindra Logistics 4.47x) and working-capital turnover (Blue Dart 13.83x, Mahindra Logistics 13.26x, versus CONCOR's cash-heavy 1.91x) tell the same story of lean versus capital-rich models.</w:t>
      </w:r>
    </w:p>
    <w:p>
      <w:pPr>
        <w:pStyle w:val="Heading2"/>
        <w:keepNext/>
        <w:spacing w:after="40" w:before="100"/>
      </w:pPr>
      <w:r>
        <w:rPr>
          <w:rFonts w:ascii="Calibri" w:cs="Calibri" w:eastAsia="Calibri" w:hAnsi="Calibri"/>
          <w:b/>
          <w:bCs/>
          <w:color w:val="2F5496"/>
          <w:sz w:val="21"/>
          <w:szCs w:val="21"/>
        </w:rPr>
        <w:t xml:space="preserve">4.4 Profitability</w:t>
      </w:r>
    </w:p>
    <w:p>
      <w:pPr>
        <w:keepNext/>
        <w:spacing w:after="40" w:before="100"/>
      </w:pPr>
      <w:r>
        <w:rPr>
          <w:rFonts w:ascii="Calibri" w:cs="Calibri" w:eastAsia="Calibri" w:hAnsi="Calibri"/>
          <w:b/>
          <w:bCs/>
          <w:color w:val="1F3864"/>
          <w:sz w:val="16"/>
          <w:szCs w:val="16"/>
        </w:rPr>
        <w:t xml:space="preserve">Table 5: Margins and returns (%)</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836"/>
        <w:gridCol w:w="836"/>
        <w:gridCol w:w="836"/>
        <w:gridCol w:w="836"/>
        <w:gridCol w:w="836"/>
        <w:gridCol w:w="836"/>
        <w:gridCol w:w="836"/>
        <w:gridCol w:w="836"/>
        <w:gridCol w:w="836"/>
        <w:gridCol w:w="842"/>
      </w:tblGrid>
      <w:tr>
        <w:trPr>
          <w:cantSplit/>
          <w:tblHeader/>
        </w:trPr>
        <w:tc>
          <w:tcPr>
            <w:tcW w:type="dxa" w:w="1500"/>
            <w:vMerge w:val="restart"/>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Firm</w:t>
            </w:r>
          </w:p>
        </w:tc>
        <w:tc>
          <w:tcPr>
            <w:tcW w:type="dxa" w:w="1672"/>
            <w:gridSpan w:val="2"/>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Operating EBITDA margin</w:t>
            </w:r>
          </w:p>
        </w:tc>
        <w:tc>
          <w:tcPr>
            <w:tcW w:type="dxa" w:w="1672"/>
            <w:gridSpan w:val="2"/>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Net profit margin</w:t>
            </w:r>
          </w:p>
        </w:tc>
        <w:tc>
          <w:tcPr>
            <w:tcW w:type="dxa" w:w="1672"/>
            <w:gridSpan w:val="2"/>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ROA</w:t>
            </w:r>
          </w:p>
        </w:tc>
        <w:tc>
          <w:tcPr>
            <w:tcW w:type="dxa" w:w="1672"/>
            <w:gridSpan w:val="2"/>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ROCE (post-tax)</w:t>
            </w:r>
          </w:p>
        </w:tc>
        <w:tc>
          <w:tcPr>
            <w:tcW w:type="dxa" w:w="1678"/>
            <w:gridSpan w:val="2"/>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ROE</w:t>
            </w:r>
          </w:p>
        </w:tc>
      </w:tr>
      <w:tr>
        <w:trPr>
          <w:cantSplit/>
          <w:tblHeader/>
        </w:trPr>
        <w:tc>
          <w:tcPr>
            <w:vMerge w:val="continue"/>
            <w:tcBorders>
              <w:top w:val="single" w:color="BFBFBF" w:sz="4"/>
              <w:left w:val="single" w:color="BFBFBF" w:sz="4"/>
              <w:bottom w:val="single" w:color="BFBFBF" w:sz="4"/>
              <w:right w:val="single" w:color="BFBFBF" w:sz="4"/>
            </w:tcBorders>
          </w:tcPr>
          <w:p/>
        </w:tc>
        <w:tc>
          <w:tcPr>
            <w:tcW w:type="dxa" w:w="836"/>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FY26</w:t>
            </w:r>
          </w:p>
        </w:tc>
        <w:tc>
          <w:tcPr>
            <w:tcW w:type="dxa" w:w="836"/>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7-yr avg</w:t>
            </w:r>
          </w:p>
        </w:tc>
        <w:tc>
          <w:tcPr>
            <w:tcW w:type="dxa" w:w="836"/>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FY26</w:t>
            </w:r>
          </w:p>
        </w:tc>
        <w:tc>
          <w:tcPr>
            <w:tcW w:type="dxa" w:w="836"/>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7-yr avg</w:t>
            </w:r>
          </w:p>
        </w:tc>
        <w:tc>
          <w:tcPr>
            <w:tcW w:type="dxa" w:w="836"/>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FY26</w:t>
            </w:r>
          </w:p>
        </w:tc>
        <w:tc>
          <w:tcPr>
            <w:tcW w:type="dxa" w:w="836"/>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7-yr avg</w:t>
            </w:r>
          </w:p>
        </w:tc>
        <w:tc>
          <w:tcPr>
            <w:tcW w:type="dxa" w:w="836"/>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FY26</w:t>
            </w:r>
          </w:p>
        </w:tc>
        <w:tc>
          <w:tcPr>
            <w:tcW w:type="dxa" w:w="836"/>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7-yr avg</w:t>
            </w:r>
          </w:p>
        </w:tc>
        <w:tc>
          <w:tcPr>
            <w:tcW w:type="dxa" w:w="836"/>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FY26</w:t>
            </w:r>
          </w:p>
        </w:tc>
        <w:tc>
          <w:tcPr>
            <w:tcW w:type="dxa" w:w="842"/>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7-yr avg</w:t>
            </w:r>
          </w:p>
        </w:tc>
      </w:tr>
      <w:tr>
        <w:trPr>
          <w:cantSplit/>
        </w:trPr>
        <w:tc>
          <w:tcPr>
            <w:tcW w:type="dxa" w:w="15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Tiger</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4.7</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3.0</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3.8</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1.9</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9.4</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9.1</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13.3</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15.0</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14.4</w:t>
            </w:r>
          </w:p>
        </w:tc>
        <w:tc>
          <w:tcPr>
            <w:tcW w:type="dxa" w:w="842"/>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12.3</w:t>
            </w:r>
          </w:p>
        </w:tc>
      </w:tr>
      <w:tr>
        <w:trPr>
          <w:cantSplit/>
        </w:trPr>
        <w:tc>
          <w:tcPr>
            <w:tcW w:type="dxa" w:w="15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Allcargo</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11.4</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7.4</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0.4</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2.6</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0.5</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4.3</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5.1</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9.2</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1.4</w:t>
            </w:r>
          </w:p>
        </w:tc>
        <w:tc>
          <w:tcPr>
            <w:tcW w:type="dxa" w:w="842"/>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12.1</w:t>
            </w:r>
          </w:p>
        </w:tc>
      </w:tr>
      <w:tr>
        <w:trPr>
          <w:cantSplit/>
        </w:trPr>
        <w:tc>
          <w:tcPr>
            <w:tcW w:type="dxa" w:w="15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Blue Dart</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15.5</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17.7</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4.0</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4.5</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6.4</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7.1</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11.4</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14.3</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14.8</w:t>
            </w:r>
          </w:p>
        </w:tc>
        <w:tc>
          <w:tcPr>
            <w:tcW w:type="dxa" w:w="842"/>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22.1</w:t>
            </w:r>
          </w:p>
        </w:tc>
      </w:tr>
      <w:tr>
        <w:trPr>
          <w:cantSplit/>
        </w:trPr>
        <w:tc>
          <w:tcPr>
            <w:tcW w:type="dxa" w:w="15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CONCOR</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21.5</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22.0</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13.7</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12.1</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8.4</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7.3</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9.6</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8.6</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9.8</w:t>
            </w:r>
          </w:p>
        </w:tc>
        <w:tc>
          <w:tcPr>
            <w:tcW w:type="dxa" w:w="842"/>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8.7</w:t>
            </w:r>
          </w:p>
        </w:tc>
      </w:tr>
      <w:tr>
        <w:trPr>
          <w:cantSplit/>
        </w:trPr>
        <w:tc>
          <w:tcPr>
            <w:tcW w:type="dxa" w:w="15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Jet Freight</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3.7</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2.0</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1.5</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0.1</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3.6</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0.3</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7.9</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4.4</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9.8</w:t>
            </w:r>
          </w:p>
        </w:tc>
        <w:tc>
          <w:tcPr>
            <w:tcW w:type="dxa" w:w="842"/>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0.2</w:t>
            </w:r>
          </w:p>
        </w:tc>
      </w:tr>
      <w:tr>
        <w:trPr>
          <w:cantSplit/>
        </w:trPr>
        <w:tc>
          <w:tcPr>
            <w:tcW w:type="dxa" w:w="15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Patel</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2.9</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2.9</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2.7</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1.8</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5.8</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3.2</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7.5</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5.6</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7.8</w:t>
            </w:r>
          </w:p>
        </w:tc>
        <w:tc>
          <w:tcPr>
            <w:tcW w:type="dxa" w:w="842"/>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4.8</w:t>
            </w:r>
          </w:p>
        </w:tc>
      </w:tr>
      <w:tr>
        <w:trPr>
          <w:cantSplit/>
        </w:trPr>
        <w:tc>
          <w:tcPr>
            <w:tcW w:type="dxa" w:w="15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Sical</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20.3</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4.2</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12.8</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-77.1</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5.6</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-20.5</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18.2</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-31.1</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77.9</w:t>
            </w:r>
          </w:p>
        </w:tc>
        <w:tc>
          <w:tcPr>
            <w:tcW w:type="dxa" w:w="842"/>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-56.5</w:t>
            </w:r>
          </w:p>
        </w:tc>
      </w:tr>
      <w:tr>
        <w:trPr>
          <w:cantSplit/>
        </w:trPr>
        <w:tc>
          <w:tcPr>
            <w:tcW w:type="dxa" w:w="15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TCI</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10.6</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10.5</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9.3</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7.8</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14.2</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13.5</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18.2</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17.1</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19.3</w:t>
            </w:r>
          </w:p>
        </w:tc>
        <w:tc>
          <w:tcPr>
            <w:tcW w:type="dxa" w:w="842"/>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18.4</w:t>
            </w:r>
          </w:p>
        </w:tc>
      </w:tr>
      <w:tr>
        <w:trPr>
          <w:cantSplit/>
        </w:trPr>
        <w:tc>
          <w:tcPr>
            <w:tcW w:type="dxa" w:w="15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Shreeji</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3.3</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7.2</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1.3</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2.8</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2.7</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5.6</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6.9</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10.6</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5.4</w:t>
            </w:r>
          </w:p>
        </w:tc>
        <w:tc>
          <w:tcPr>
            <w:tcW w:type="dxa" w:w="842"/>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14.5</w:t>
            </w:r>
          </w:p>
        </w:tc>
      </w:tr>
      <w:tr>
        <w:trPr>
          <w:cantSplit/>
        </w:trPr>
        <w:tc>
          <w:tcPr>
            <w:tcW w:type="dxa" w:w="15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Mahindra Log.</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5.4</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4.6</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0.0</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0.3</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0.1</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0.7</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2.2</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5.2</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0.3</w:t>
            </w:r>
          </w:p>
        </w:tc>
        <w:tc>
          <w:tcPr>
            <w:tcW w:type="dxa" w:w="842"/>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0.9</w:t>
            </w:r>
          </w:p>
        </w:tc>
      </w:tr>
      <w:tr>
        <w:trPr>
          <w:cantSplit/>
        </w:trPr>
        <w:tc>
          <w:tcPr>
            <w:tcW w:type="dxa" w:w="1500"/>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bCs/>
                <w:color w:val="000000"/>
                <w:sz w:val="15"/>
                <w:szCs w:val="15"/>
              </w:rPr>
              <w:t xml:space="preserve">Industry (agg.)</w:t>
            </w:r>
          </w:p>
        </w:tc>
        <w:tc>
          <w:tcPr>
            <w:tcW w:type="dxa" w:w="836"/>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13.4</w:t>
            </w:r>
          </w:p>
        </w:tc>
        <w:tc>
          <w:tcPr>
            <w:tcW w:type="dxa" w:w="836"/>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11.7</w:t>
            </w:r>
          </w:p>
        </w:tc>
        <w:tc>
          <w:tcPr>
            <w:tcW w:type="dxa" w:w="836"/>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6.6</w:t>
            </w:r>
          </w:p>
        </w:tc>
        <w:tc>
          <w:tcPr>
            <w:tcW w:type="dxa" w:w="836"/>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4.4</w:t>
            </w:r>
          </w:p>
        </w:tc>
        <w:tc>
          <w:tcPr>
            <w:tcW w:type="dxa" w:w="836"/>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7.3</w:t>
            </w:r>
          </w:p>
        </w:tc>
        <w:tc>
          <w:tcPr>
            <w:tcW w:type="dxa" w:w="836"/>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5.2</w:t>
            </w:r>
          </w:p>
        </w:tc>
        <w:tc>
          <w:tcPr>
            <w:tcW w:type="dxa" w:w="836"/>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10.4</w:t>
            </w:r>
          </w:p>
        </w:tc>
        <w:tc>
          <w:tcPr>
            <w:tcW w:type="dxa" w:w="836"/>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8.1</w:t>
            </w:r>
          </w:p>
        </w:tc>
        <w:tc>
          <w:tcPr>
            <w:tcW w:type="dxa" w:w="836"/>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11.0</w:t>
            </w:r>
          </w:p>
        </w:tc>
        <w:tc>
          <w:tcPr>
            <w:tcW w:type="dxa" w:w="842"/>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8.9</w:t>
            </w:r>
          </w:p>
        </w:tc>
      </w:tr>
      <w:tr>
        <w:trPr>
          <w:cantSplit/>
        </w:trPr>
        <w:tc>
          <w:tcPr>
            <w:tcW w:type="dxa" w:w="1500"/>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bCs/>
                <w:color w:val="000000"/>
                <w:sz w:val="15"/>
                <w:szCs w:val="15"/>
              </w:rPr>
              <w:t xml:space="preserve">Median firm</w:t>
            </w:r>
          </w:p>
        </w:tc>
        <w:tc>
          <w:tcPr>
            <w:tcW w:type="dxa" w:w="836"/>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8.0</w:t>
            </w:r>
          </w:p>
        </w:tc>
        <w:tc>
          <w:tcPr>
            <w:tcW w:type="dxa" w:w="836"/>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5.9</w:t>
            </w:r>
          </w:p>
        </w:tc>
        <w:tc>
          <w:tcPr>
            <w:tcW w:type="dxa" w:w="836"/>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3.2</w:t>
            </w:r>
          </w:p>
        </w:tc>
        <w:tc>
          <w:tcPr>
            <w:tcW w:type="dxa" w:w="836"/>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2.2</w:t>
            </w:r>
          </w:p>
        </w:tc>
        <w:tc>
          <w:tcPr>
            <w:tcW w:type="dxa" w:w="836"/>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5.7</w:t>
            </w:r>
          </w:p>
        </w:tc>
        <w:tc>
          <w:tcPr>
            <w:tcW w:type="dxa" w:w="836"/>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5.0</w:t>
            </w:r>
          </w:p>
        </w:tc>
        <w:tc>
          <w:tcPr>
            <w:tcW w:type="dxa" w:w="836"/>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8.7</w:t>
            </w:r>
          </w:p>
        </w:tc>
        <w:tc>
          <w:tcPr>
            <w:tcW w:type="dxa" w:w="836"/>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8.9</w:t>
            </w:r>
          </w:p>
        </w:tc>
        <w:tc>
          <w:tcPr>
            <w:tcW w:type="dxa" w:w="836"/>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9.8</w:t>
            </w:r>
          </w:p>
        </w:tc>
        <w:tc>
          <w:tcPr>
            <w:tcW w:type="dxa" w:w="842"/>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10.4</w:t>
            </w:r>
          </w:p>
        </w:tc>
      </w:tr>
    </w:tbl>
    <w:p>
      <w:pPr>
        <w:spacing w:after="40"/>
      </w:pPr>
    </w:p>
    <w:p>
      <w:pPr>
        <w:spacing w:after="80" w:line="252"/>
        <w:jc w:val="both"/>
      </w:pPr>
      <w:r>
        <w:rPr>
          <w:rFonts w:ascii="Calibri" w:cs="Calibri" w:eastAsia="Calibri" w:hAnsi="Calibri"/>
          <w:b/>
          <w:bCs/>
          <w:sz w:val="20"/>
          <w:szCs w:val="20"/>
        </w:rPr>
        <w:t xml:space="preserve">Margins</w:t>
      </w:r>
      <w:r>
        <w:rPr>
          <w:rFonts w:ascii="Calibri" w:cs="Calibri" w:eastAsia="Calibri" w:hAnsi="Calibri"/>
          <w:sz w:val="20"/>
          <w:szCs w:val="20"/>
        </w:rPr>
        <w:t xml:space="preserve"> are structurally different but stable. The size-weighted industry operating EBITDA margin is 13.4%, far above the median firm's 8.0%, because the two highest-margin firms (CONCOR 21.5%, Blue Dart 15.5%) are also among the largest. Forwarders and road carriers work on thin margins (Patel 2.9%, Shreeji 3.3%, Jet Freight 3.7%, Tiger 4.7%), because 86-91% of their revenue is passed through to carriers. The expense ratios show why. Blue Dart's direct cost is only 60.9% of sales, but its employee cost is 17.0%, the price of owning its pick-up and delivery network. Net margins follow: industry 6.6%, median 3.2%, with Mahindra Logistics (0.0%) and Allcargo (0.4%) close to break-even. </w:t>
      </w:r>
      <w:r>
        <w:rPr>
          <w:rFonts w:ascii="Calibri" w:cs="Calibri" w:eastAsia="Calibri" w:hAnsi="Calibri"/>
          <w:b/>
          <w:bCs/>
          <w:sz w:val="20"/>
          <w:szCs w:val="20"/>
        </w:rPr>
        <w:t xml:space="preserve">Returns</w:t>
      </w:r>
      <w:r>
        <w:rPr>
          <w:rFonts w:ascii="Calibri" w:cs="Calibri" w:eastAsia="Calibri" w:hAnsi="Calibri"/>
          <w:sz w:val="20"/>
          <w:szCs w:val="20"/>
        </w:rPr>
        <w:t xml:space="preserve"> combine margin and turnover. TCI is the standout, with a ROCE of 18.2% and ROE of 19.3% and the most consistent 7-year record (average ROCE 17.1%, with the lowest coefficient of variation, 0.20). Tiger (13.3%) and Blue Dart (11.4%) also beat the median ROCE of 8.7%. Sical's 18.2% ROCE and 77.9% ROE are post-resolution figures on a tiny equity base, helped by other income, and are not yet a sustainable signal. CONCOR earns only 9.6% despite the industry's best margin: its heavy rail and terminal asset base and its cash pile dilute returns. Mahindra Logistics (2.2%) and Allcargo (5.1%) earn below the industry on capital.</w:t>
      </w:r>
    </w:p>
    <w:p>
      <w:pPr>
        <w:keepNext/>
        <w:spacing w:after="40" w:before="100"/>
      </w:pPr>
      <w:r>
        <w:rPr>
          <w:rFonts w:ascii="Calibri" w:cs="Calibri" w:eastAsia="Calibri" w:hAnsi="Calibri"/>
          <w:b/>
          <w:bCs/>
          <w:color w:val="1F3864"/>
          <w:sz w:val="16"/>
          <w:szCs w:val="16"/>
        </w:rPr>
        <w:t xml:space="preserve">Table 6: Common-size statements, FY26 (P&amp;L items as % of sales; balance-sheet items as % of total assets)</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836"/>
        <w:gridCol w:w="836"/>
        <w:gridCol w:w="836"/>
        <w:gridCol w:w="836"/>
        <w:gridCol w:w="836"/>
        <w:gridCol w:w="836"/>
        <w:gridCol w:w="836"/>
        <w:gridCol w:w="836"/>
        <w:gridCol w:w="836"/>
        <w:gridCol w:w="842"/>
      </w:tblGrid>
      <w:tr>
        <w:trPr>
          <w:cantSplit/>
          <w:tblHeader/>
        </w:trPr>
        <w:tc>
          <w:tcPr>
            <w:tcW w:type="dxa" w:w="1500"/>
            <w:vMerge w:val="restart"/>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Firm</w:t>
            </w:r>
          </w:p>
        </w:tc>
        <w:tc>
          <w:tcPr>
            <w:tcW w:type="dxa" w:w="5016"/>
            <w:gridSpan w:val="6"/>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Profit &amp; loss (% of sales)</w:t>
            </w:r>
          </w:p>
        </w:tc>
        <w:tc>
          <w:tcPr>
            <w:tcW w:type="dxa" w:w="3350"/>
            <w:gridSpan w:val="4"/>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Balance sheet (% of total assets)</w:t>
            </w:r>
          </w:p>
        </w:tc>
      </w:tr>
      <w:tr>
        <w:trPr>
          <w:cantSplit/>
          <w:tblHeader/>
        </w:trPr>
        <w:tc>
          <w:tcPr>
            <w:vMerge w:val="continue"/>
            <w:tcBorders>
              <w:top w:val="single" w:color="BFBFBF" w:sz="4"/>
              <w:left w:val="single" w:color="BFBFBF" w:sz="4"/>
              <w:bottom w:val="single" w:color="BFBFBF" w:sz="4"/>
              <w:right w:val="single" w:color="BFBFBF" w:sz="4"/>
            </w:tcBorders>
          </w:tcPr>
          <w:p/>
        </w:tc>
        <w:tc>
          <w:tcPr>
            <w:tcW w:type="dxa" w:w="836"/>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Direct cost</w:t>
            </w:r>
          </w:p>
        </w:tc>
        <w:tc>
          <w:tcPr>
            <w:tcW w:type="dxa" w:w="836"/>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Employee</w:t>
            </w:r>
          </w:p>
        </w:tc>
        <w:tc>
          <w:tcPr>
            <w:tcW w:type="dxa" w:w="836"/>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Op. EBITDA</w:t>
            </w:r>
          </w:p>
        </w:tc>
        <w:tc>
          <w:tcPr>
            <w:tcW w:type="dxa" w:w="836"/>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Deprec.</w:t>
            </w:r>
          </w:p>
        </w:tc>
        <w:tc>
          <w:tcPr>
            <w:tcW w:type="dxa" w:w="836"/>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Interest</w:t>
            </w:r>
          </w:p>
        </w:tc>
        <w:tc>
          <w:tcPr>
            <w:tcW w:type="dxa" w:w="836"/>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Net profit</w:t>
            </w:r>
          </w:p>
        </w:tc>
        <w:tc>
          <w:tcPr>
            <w:tcW w:type="dxa" w:w="836"/>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Net block</w:t>
            </w:r>
          </w:p>
        </w:tc>
        <w:tc>
          <w:tcPr>
            <w:tcW w:type="dxa" w:w="836"/>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Receiv.</w:t>
            </w:r>
          </w:p>
        </w:tc>
        <w:tc>
          <w:tcPr>
            <w:tcW w:type="dxa" w:w="836"/>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Net worth</w:t>
            </w:r>
          </w:p>
        </w:tc>
        <w:tc>
          <w:tcPr>
            <w:tcW w:type="dxa" w:w="842"/>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Borrow.</w:t>
            </w:r>
          </w:p>
        </w:tc>
      </w:tr>
      <w:tr>
        <w:trPr>
          <w:cantSplit/>
        </w:trPr>
        <w:tc>
          <w:tcPr>
            <w:tcW w:type="dxa" w:w="15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Tiger</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89.9</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3.8</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4.7</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0.2</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0.9</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3.8</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3.7</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61.3</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60.9</w:t>
            </w:r>
          </w:p>
        </w:tc>
        <w:tc>
          <w:tcPr>
            <w:tcW w:type="dxa" w:w="842"/>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19.3</w:t>
            </w:r>
          </w:p>
        </w:tc>
      </w:tr>
      <w:tr>
        <w:trPr>
          <w:cantSplit/>
        </w:trPr>
        <w:tc>
          <w:tcPr>
            <w:tcW w:type="dxa" w:w="15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Allcargo</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73.3</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10.4</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11.4</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9.9</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3.0</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0.4</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45.1</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24.7</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33.1</w:t>
            </w:r>
          </w:p>
        </w:tc>
        <w:tc>
          <w:tcPr>
            <w:tcW w:type="dxa" w:w="842"/>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39.9</w:t>
            </w:r>
          </w:p>
        </w:tc>
      </w:tr>
      <w:tr>
        <w:trPr>
          <w:cantSplit/>
        </w:trPr>
        <w:tc>
          <w:tcPr>
            <w:tcW w:type="dxa" w:w="15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Blue Dart</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60.9</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17.0</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15.5</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8.7</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1.4</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4.0</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49.3</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22.3</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43.1</w:t>
            </w:r>
          </w:p>
        </w:tc>
        <w:tc>
          <w:tcPr>
            <w:tcW w:type="dxa" w:w="842"/>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27.7</w:t>
            </w:r>
          </w:p>
        </w:tc>
      </w:tr>
      <w:tr>
        <w:trPr>
          <w:cantSplit/>
        </w:trPr>
        <w:tc>
          <w:tcPr>
            <w:tcW w:type="dxa" w:w="15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CONCOR</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66.3</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5.7</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21.5</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6.8</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0.9</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13.7</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47.3</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3.2</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85.3</w:t>
            </w:r>
          </w:p>
        </w:tc>
        <w:tc>
          <w:tcPr>
            <w:tcW w:type="dxa" w:w="842"/>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6.4</w:t>
            </w:r>
          </w:p>
        </w:tc>
      </w:tr>
      <w:tr>
        <w:trPr>
          <w:cantSplit/>
        </w:trPr>
        <w:tc>
          <w:tcPr>
            <w:tcW w:type="dxa" w:w="15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Jet Freight</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90.1</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4.6</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3.7</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0.4</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1.6</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1.5</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12.6</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50.0</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37.5</w:t>
            </w:r>
          </w:p>
        </w:tc>
        <w:tc>
          <w:tcPr>
            <w:tcW w:type="dxa" w:w="842"/>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38.2</w:t>
            </w:r>
          </w:p>
        </w:tc>
      </w:tr>
      <w:tr>
        <w:trPr>
          <w:cantSplit/>
        </w:trPr>
        <w:tc>
          <w:tcPr>
            <w:tcW w:type="dxa" w:w="15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Patel</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90.8</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4.3</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2.9</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0.7</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0.1</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2.7</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28.1</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44.5</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75.6</w:t>
            </w:r>
          </w:p>
        </w:tc>
        <w:tc>
          <w:tcPr>
            <w:tcW w:type="dxa" w:w="842"/>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3.8</w:t>
            </w:r>
          </w:p>
        </w:tc>
      </w:tr>
      <w:tr>
        <w:trPr>
          <w:cantSplit/>
        </w:trPr>
        <w:tc>
          <w:tcPr>
            <w:tcW w:type="dxa" w:w="15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Sical</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66.5</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6.9</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20.3</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10.8</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18.7</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12.8</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61.3</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10.6</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14.5</w:t>
            </w:r>
          </w:p>
        </w:tc>
        <w:tc>
          <w:tcPr>
            <w:tcW w:type="dxa" w:w="842"/>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53.5</w:t>
            </w:r>
          </w:p>
        </w:tc>
      </w:tr>
      <w:tr>
        <w:trPr>
          <w:cantSplit/>
        </w:trPr>
        <w:tc>
          <w:tcPr>
            <w:tcW w:type="dxa" w:w="15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TCI</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81.1</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5.6</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10.6</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2.6</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0.5</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9.3</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34.3</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23.4</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73.7</w:t>
            </w:r>
          </w:p>
        </w:tc>
        <w:tc>
          <w:tcPr>
            <w:tcW w:type="dxa" w:w="842"/>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9.0</w:t>
            </w:r>
          </w:p>
        </w:tc>
      </w:tr>
      <w:tr>
        <w:trPr>
          <w:cantSplit/>
        </w:trPr>
        <w:tc>
          <w:tcPr>
            <w:tcW w:type="dxa" w:w="15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Shreeji</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85.7</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5.1</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3.3</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1.7</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1.8</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1.3</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20.9</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62.2</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50.3</w:t>
            </w:r>
          </w:p>
        </w:tc>
        <w:tc>
          <w:tcPr>
            <w:tcW w:type="dxa" w:w="842"/>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33.5</w:t>
            </w:r>
          </w:p>
        </w:tc>
      </w:tr>
      <w:tr>
        <w:trPr>
          <w:cantSplit/>
        </w:trPr>
        <w:tc>
          <w:tcPr>
            <w:tcW w:type="dxa" w:w="15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Mahindra Log.</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86.2</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6.1</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5.4</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4.0</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1.1</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0.0</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37.0</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22.2</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37.8</w:t>
            </w:r>
          </w:p>
        </w:tc>
        <w:tc>
          <w:tcPr>
            <w:tcW w:type="dxa" w:w="842"/>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20.9</w:t>
            </w:r>
          </w:p>
        </w:tc>
      </w:tr>
      <w:tr>
        <w:trPr>
          <w:cantSplit/>
        </w:trPr>
        <w:tc>
          <w:tcPr>
            <w:tcW w:type="dxa" w:w="1500"/>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bCs/>
                <w:color w:val="000000"/>
                <w:sz w:val="15"/>
                <w:szCs w:val="15"/>
              </w:rPr>
              <w:t xml:space="preserve">Industry (agg.)</w:t>
            </w:r>
          </w:p>
        </w:tc>
        <w:tc>
          <w:tcPr>
            <w:tcW w:type="dxa" w:w="836"/>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73.7</w:t>
            </w:r>
          </w:p>
        </w:tc>
        <w:tc>
          <w:tcPr>
            <w:tcW w:type="dxa" w:w="836"/>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8.3</w:t>
            </w:r>
          </w:p>
        </w:tc>
        <w:tc>
          <w:tcPr>
            <w:tcW w:type="dxa" w:w="836"/>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13.4</w:t>
            </w:r>
          </w:p>
        </w:tc>
        <w:tc>
          <w:tcPr>
            <w:tcW w:type="dxa" w:w="836"/>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5.8</w:t>
            </w:r>
          </w:p>
        </w:tc>
        <w:tc>
          <w:tcPr>
            <w:tcW w:type="dxa" w:w="836"/>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1.3</w:t>
            </w:r>
          </w:p>
        </w:tc>
        <w:tc>
          <w:tcPr>
            <w:tcW w:type="dxa" w:w="836"/>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6.6</w:t>
            </w:r>
          </w:p>
        </w:tc>
        <w:tc>
          <w:tcPr>
            <w:tcW w:type="dxa" w:w="836"/>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44.4</w:t>
            </w:r>
          </w:p>
        </w:tc>
        <w:tc>
          <w:tcPr>
            <w:tcW w:type="dxa" w:w="836"/>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13.1</w:t>
            </w:r>
          </w:p>
        </w:tc>
        <w:tc>
          <w:tcPr>
            <w:tcW w:type="dxa" w:w="836"/>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66.9</w:t>
            </w:r>
          </w:p>
        </w:tc>
        <w:tc>
          <w:tcPr>
            <w:tcW w:type="dxa" w:w="842"/>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15.1</w:t>
            </w:r>
          </w:p>
        </w:tc>
      </w:tr>
      <w:tr>
        <w:trPr>
          <w:cantSplit/>
        </w:trPr>
        <w:tc>
          <w:tcPr>
            <w:tcW w:type="dxa" w:w="1500"/>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bCs/>
                <w:color w:val="000000"/>
                <w:sz w:val="15"/>
                <w:szCs w:val="15"/>
              </w:rPr>
              <w:t xml:space="preserve">Median firm</w:t>
            </w:r>
          </w:p>
        </w:tc>
        <w:tc>
          <w:tcPr>
            <w:tcW w:type="dxa" w:w="836"/>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83.4</w:t>
            </w:r>
          </w:p>
        </w:tc>
        <w:tc>
          <w:tcPr>
            <w:tcW w:type="dxa" w:w="836"/>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5.7</w:t>
            </w:r>
          </w:p>
        </w:tc>
        <w:tc>
          <w:tcPr>
            <w:tcW w:type="dxa" w:w="836"/>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8.0</w:t>
            </w:r>
          </w:p>
        </w:tc>
        <w:tc>
          <w:tcPr>
            <w:tcW w:type="dxa" w:w="836"/>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3.3</w:t>
            </w:r>
          </w:p>
        </w:tc>
        <w:tc>
          <w:tcPr>
            <w:tcW w:type="dxa" w:w="836"/>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1.2</w:t>
            </w:r>
          </w:p>
        </w:tc>
        <w:tc>
          <w:tcPr>
            <w:tcW w:type="dxa" w:w="836"/>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3.2</w:t>
            </w:r>
          </w:p>
        </w:tc>
        <w:tc>
          <w:tcPr>
            <w:tcW w:type="dxa" w:w="836"/>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35.6</w:t>
            </w:r>
          </w:p>
        </w:tc>
        <w:tc>
          <w:tcPr>
            <w:tcW w:type="dxa" w:w="836"/>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24.1</w:t>
            </w:r>
          </w:p>
        </w:tc>
        <w:tc>
          <w:tcPr>
            <w:tcW w:type="dxa" w:w="836"/>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46.7</w:t>
            </w:r>
          </w:p>
        </w:tc>
        <w:tc>
          <w:tcPr>
            <w:tcW w:type="dxa" w:w="842"/>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24.3</w:t>
            </w:r>
          </w:p>
        </w:tc>
      </w:tr>
    </w:tbl>
    <w:p>
      <w:pPr>
        <w:spacing w:after="40"/>
      </w:pPr>
    </w:p>
    <w:p>
      <w:pPr>
        <w:spacing w:after="80" w:line="252"/>
        <w:jc w:val="both"/>
      </w:pPr>
      <w:r>
        <w:rPr>
          <w:rFonts w:ascii="Calibri" w:cs="Calibri" w:eastAsia="Calibri" w:hAnsi="Calibri"/>
          <w:sz w:val="20"/>
          <w:szCs w:val="20"/>
        </w:rPr>
        <w:t xml:space="preserve">The remaining profitability ratios confirm the picture. Gross margin (sales less direct cost) is 26.3% for the industry but 16.6% for the median firm, and the </w:t>
      </w:r>
      <w:r>
        <w:rPr>
          <w:rFonts w:ascii="Calibri" w:cs="Calibri" w:eastAsia="Calibri" w:hAnsi="Calibri"/>
          <w:b/>
          <w:bCs/>
          <w:sz w:val="20"/>
          <w:szCs w:val="20"/>
        </w:rPr>
        <w:t xml:space="preserve">operating ratio</w:t>
      </w:r>
      <w:r>
        <w:rPr>
          <w:rFonts w:ascii="Calibri" w:cs="Calibri" w:eastAsia="Calibri" w:hAnsi="Calibri"/>
          <w:sz w:val="20"/>
          <w:szCs w:val="20"/>
        </w:rPr>
        <w:t xml:space="preserve"> of the median firm is 92.0%: only about 8 paise of every sales rupee is left to cover depreciation, interest, tax and profit. Reported EBITDA margin (including other income) can mislead. Sical's is 35.7% against a core 20.3%, because of Rs 92 cr of other income in FY26, which is why we rely on the operating measure. Pre-tax margin (median 4.0%) and the financial-expense ratio (Sical 18.7% of sales, against an industry 1.3%) show where interest bites. </w:t>
      </w:r>
      <w:r>
        <w:rPr>
          <w:rFonts w:ascii="Calibri" w:cs="Calibri" w:eastAsia="Calibri" w:hAnsi="Calibri"/>
          <w:b/>
          <w:bCs/>
          <w:sz w:val="20"/>
          <w:szCs w:val="20"/>
        </w:rPr>
        <w:t xml:space="preserve">Earning power</w:t>
      </w:r>
      <w:r>
        <w:rPr>
          <w:rFonts w:ascii="Calibri" w:cs="Calibri" w:eastAsia="Calibri" w:hAnsi="Calibri"/>
          <w:sz w:val="20"/>
          <w:szCs w:val="20"/>
        </w:rPr>
        <w:t xml:space="preserve"> (EBIT / average assets) is highest at TCI (16.3%) and Tiger (15.0%), against a median of 10.2%. The common-size table shows where the rupee goes: direct cost dominates everywhere, depreciation is material only for the asset-heavy firms (Allcargo, Blue Dart, CONCOR, Sical: 7-11% of sales), and receivables are the main asset of the asset-light firms.</w:t>
      </w:r>
    </w:p>
    <w:p>
      <w:pPr>
        <w:pStyle w:val="Heading2"/>
        <w:keepNext/>
        <w:spacing w:after="40" w:before="100"/>
      </w:pPr>
      <w:r>
        <w:rPr>
          <w:rFonts w:ascii="Calibri" w:cs="Calibri" w:eastAsia="Calibri" w:hAnsi="Calibri"/>
          <w:b/>
          <w:bCs/>
          <w:color w:val="2F5496"/>
          <w:sz w:val="21"/>
          <w:szCs w:val="21"/>
        </w:rPr>
        <w:t xml:space="preserve">4.5 Valuation and shareholder ratios</w:t>
      </w:r>
    </w:p>
    <w:p>
      <w:pPr>
        <w:keepNext/>
        <w:spacing w:after="40" w:before="100"/>
      </w:pPr>
      <w:r>
        <w:rPr>
          <w:rFonts w:ascii="Calibri" w:cs="Calibri" w:eastAsia="Calibri" w:hAnsi="Calibri"/>
          <w:b/>
          <w:bCs/>
          <w:color w:val="1F3864"/>
          <w:sz w:val="16"/>
          <w:szCs w:val="16"/>
        </w:rPr>
        <w:t xml:space="preserve">Table 7: Valuation ratios (x; yields and total shareholder return in %). N/C = not comparable (demerger-adjusted price).</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836"/>
        <w:gridCol w:w="836"/>
        <w:gridCol w:w="836"/>
        <w:gridCol w:w="836"/>
        <w:gridCol w:w="836"/>
        <w:gridCol w:w="836"/>
        <w:gridCol w:w="836"/>
        <w:gridCol w:w="836"/>
        <w:gridCol w:w="836"/>
        <w:gridCol w:w="842"/>
      </w:tblGrid>
      <w:tr>
        <w:trPr>
          <w:cantSplit/>
          <w:tblHeader/>
        </w:trPr>
        <w:tc>
          <w:tcPr>
            <w:tcW w:type="dxa" w:w="1500"/>
            <w:vMerge w:val="restart"/>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Firm</w:t>
            </w:r>
          </w:p>
        </w:tc>
        <w:tc>
          <w:tcPr>
            <w:tcW w:type="dxa" w:w="1672"/>
            <w:gridSpan w:val="2"/>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P/E</w:t>
            </w:r>
          </w:p>
        </w:tc>
        <w:tc>
          <w:tcPr>
            <w:tcW w:type="dxa" w:w="1672"/>
            <w:gridSpan w:val="2"/>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P/B</w:t>
            </w:r>
          </w:p>
        </w:tc>
        <w:tc>
          <w:tcPr>
            <w:tcW w:type="dxa" w:w="1672"/>
            <w:gridSpan w:val="2"/>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EV / EBITDA</w:t>
            </w:r>
          </w:p>
        </w:tc>
        <w:tc>
          <w:tcPr>
            <w:tcW w:type="dxa" w:w="1672"/>
            <w:gridSpan w:val="2"/>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Dividend yield</w:t>
            </w:r>
          </w:p>
        </w:tc>
        <w:tc>
          <w:tcPr>
            <w:tcW w:type="dxa" w:w="1678"/>
            <w:gridSpan w:val="2"/>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Total shareholder return</w:t>
            </w:r>
          </w:p>
        </w:tc>
      </w:tr>
      <w:tr>
        <w:trPr>
          <w:cantSplit/>
          <w:tblHeader/>
        </w:trPr>
        <w:tc>
          <w:tcPr>
            <w:vMerge w:val="continue"/>
            <w:tcBorders>
              <w:top w:val="single" w:color="BFBFBF" w:sz="4"/>
              <w:left w:val="single" w:color="BFBFBF" w:sz="4"/>
              <w:bottom w:val="single" w:color="BFBFBF" w:sz="4"/>
              <w:right w:val="single" w:color="BFBFBF" w:sz="4"/>
            </w:tcBorders>
          </w:tcPr>
          <w:p/>
        </w:tc>
        <w:tc>
          <w:tcPr>
            <w:tcW w:type="dxa" w:w="836"/>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FY26</w:t>
            </w:r>
          </w:p>
        </w:tc>
        <w:tc>
          <w:tcPr>
            <w:tcW w:type="dxa" w:w="836"/>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7-yr avg</w:t>
            </w:r>
          </w:p>
        </w:tc>
        <w:tc>
          <w:tcPr>
            <w:tcW w:type="dxa" w:w="836"/>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FY26</w:t>
            </w:r>
          </w:p>
        </w:tc>
        <w:tc>
          <w:tcPr>
            <w:tcW w:type="dxa" w:w="836"/>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7-yr avg</w:t>
            </w:r>
          </w:p>
        </w:tc>
        <w:tc>
          <w:tcPr>
            <w:tcW w:type="dxa" w:w="836"/>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FY26</w:t>
            </w:r>
          </w:p>
        </w:tc>
        <w:tc>
          <w:tcPr>
            <w:tcW w:type="dxa" w:w="836"/>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7-yr avg</w:t>
            </w:r>
          </w:p>
        </w:tc>
        <w:tc>
          <w:tcPr>
            <w:tcW w:type="dxa" w:w="836"/>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FY26</w:t>
            </w:r>
          </w:p>
        </w:tc>
        <w:tc>
          <w:tcPr>
            <w:tcW w:type="dxa" w:w="836"/>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7-yr avg</w:t>
            </w:r>
          </w:p>
        </w:tc>
        <w:tc>
          <w:tcPr>
            <w:tcW w:type="dxa" w:w="836"/>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FY26</w:t>
            </w:r>
          </w:p>
        </w:tc>
        <w:tc>
          <w:tcPr>
            <w:tcW w:type="dxa" w:w="842"/>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7-yr avg</w:t>
            </w:r>
          </w:p>
        </w:tc>
      </w:tr>
      <w:tr>
        <w:trPr>
          <w:cantSplit/>
        </w:trPr>
        <w:tc>
          <w:tcPr>
            <w:tcW w:type="dxa" w:w="15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Tiger</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11.74</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18.21</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1.58</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2.60</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7.40</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11.60</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0.0</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0.1</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-49.7</w:t>
            </w:r>
          </w:p>
        </w:tc>
        <w:tc>
          <w:tcPr>
            <w:tcW w:type="dxa" w:w="842"/>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60.6</w:t>
            </w:r>
          </w:p>
        </w:tc>
      </w:tr>
      <w:tr>
        <w:trPr>
          <w:cantSplit/>
        </w:trPr>
        <w:tc>
          <w:tcPr>
            <w:tcW w:type="dxa" w:w="15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Allcargo</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134.43</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134.43</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1.87</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1.87</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6.06</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6.06</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0.0</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0.0</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-27.9</w:t>
            </w:r>
          </w:p>
        </w:tc>
        <w:tc>
          <w:tcPr>
            <w:tcW w:type="dxa" w:w="842"/>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30.5</w:t>
            </w:r>
          </w:p>
        </w:tc>
      </w:tr>
      <w:tr>
        <w:trPr>
          <w:cantSplit/>
        </w:trPr>
        <w:tc>
          <w:tcPr>
            <w:tcW w:type="dxa" w:w="15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Blue Dart</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45.48</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60.64</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6.33</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12.92</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12.81</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16.40</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0.5</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0.4</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-22.2</w:t>
            </w:r>
          </w:p>
        </w:tc>
        <w:tc>
          <w:tcPr>
            <w:tcW w:type="dxa" w:w="842"/>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15.4</w:t>
            </w:r>
          </w:p>
        </w:tc>
      </w:tr>
      <w:tr>
        <w:trPr>
          <w:cantSplit/>
        </w:trPr>
        <w:tc>
          <w:tcPr>
            <w:tcW w:type="dxa" w:w="15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CONCOR</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26.08</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41.79</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2.50</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3.29</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12.74</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18.36</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2.0</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1.4</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-21.6</w:t>
            </w:r>
          </w:p>
        </w:tc>
        <w:tc>
          <w:tcPr>
            <w:tcW w:type="dxa" w:w="842"/>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8.5</w:t>
            </w:r>
          </w:p>
        </w:tc>
      </w:tr>
      <w:tr>
        <w:trPr>
          <w:cantSplit/>
        </w:trPr>
        <w:tc>
          <w:tcPr>
            <w:tcW w:type="dxa" w:w="15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Jet Freight</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11.64</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203.64</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1.09</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1.76</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6.76</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9.97</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0.0</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0.0</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48.1</w:t>
            </w:r>
          </w:p>
        </w:tc>
        <w:tc>
          <w:tcPr>
            <w:tcW w:type="dxa" w:w="842"/>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38.5</w:t>
            </w:r>
          </w:p>
        </w:tc>
      </w:tr>
      <w:tr>
        <w:trPr>
          <w:cantSplit/>
        </w:trPr>
        <w:tc>
          <w:tcPr>
            <w:tcW w:type="dxa" w:w="15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Patel</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5.99</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207.38</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0.47</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0.66</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2.79</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7.58</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2.4</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1.0</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-36.7</w:t>
            </w:r>
          </w:p>
        </w:tc>
        <w:tc>
          <w:tcPr>
            <w:tcW w:type="dxa" w:w="842"/>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8.5</w:t>
            </w:r>
          </w:p>
        </w:tc>
      </w:tr>
      <w:tr>
        <w:trPr>
          <w:cantSplit/>
        </w:trPr>
        <w:tc>
          <w:tcPr>
            <w:tcW w:type="dxa" w:w="15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Sical</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10.20</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10.20</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3.83</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9.53</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5.40</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59.76</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0.0</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0.0</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-7.9</w:t>
            </w:r>
          </w:p>
        </w:tc>
        <w:tc>
          <w:tcPr>
            <w:tcW w:type="dxa" w:w="842"/>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296.8</w:t>
            </w:r>
          </w:p>
        </w:tc>
      </w:tr>
      <w:tr>
        <w:trPr>
          <w:cantSplit/>
        </w:trPr>
        <w:tc>
          <w:tcPr>
            <w:tcW w:type="dxa" w:w="15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TCI</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15.52</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15.55</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2.76</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2.72</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11.20</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10.26</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1.1</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0.9</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-15.4</w:t>
            </w:r>
          </w:p>
        </w:tc>
        <w:tc>
          <w:tcPr>
            <w:tcW w:type="dxa" w:w="842"/>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27.1</w:t>
            </w:r>
          </w:p>
        </w:tc>
      </w:tr>
      <w:tr>
        <w:trPr>
          <w:cantSplit/>
        </w:trPr>
        <w:tc>
          <w:tcPr>
            <w:tcW w:type="dxa" w:w="15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Shreeji</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13.01</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24.36</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0.68</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3.40</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6.38</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10.63</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0.0</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0.7</w:t>
            </w:r>
          </w:p>
        </w:tc>
        <w:tc>
          <w:tcPr>
            <w:tcW w:type="dxa" w:w="83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-33.6</w:t>
            </w:r>
          </w:p>
        </w:tc>
        <w:tc>
          <w:tcPr>
            <w:tcW w:type="dxa" w:w="842"/>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35.2</w:t>
            </w:r>
          </w:p>
        </w:tc>
      </w:tr>
      <w:tr>
        <w:trPr>
          <w:cantSplit/>
        </w:trPr>
        <w:tc>
          <w:tcPr>
            <w:tcW w:type="dxa" w:w="15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Mahindra Log.</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1,441.65</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406.64</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2.81</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6.09</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9.72</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17.72</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0.8</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0.5</w:t>
            </w:r>
          </w:p>
        </w:tc>
        <w:tc>
          <w:tcPr>
            <w:tcW w:type="dxa" w:w="83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40.4</w:t>
            </w:r>
          </w:p>
        </w:tc>
        <w:tc>
          <w:tcPr>
            <w:tcW w:type="dxa" w:w="842"/>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11.3</w:t>
            </w:r>
          </w:p>
        </w:tc>
      </w:tr>
      <w:tr>
        <w:trPr>
          <w:cantSplit/>
        </w:trPr>
        <w:tc>
          <w:tcPr>
            <w:tcW w:type="dxa" w:w="1500"/>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bCs/>
                <w:color w:val="000000"/>
                <w:sz w:val="15"/>
                <w:szCs w:val="15"/>
              </w:rPr>
              <w:t xml:space="preserve">Industry (agg.)</w:t>
            </w:r>
          </w:p>
        </w:tc>
        <w:tc>
          <w:tcPr>
            <w:tcW w:type="dxa" w:w="836"/>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27.38</w:t>
            </w:r>
          </w:p>
        </w:tc>
        <w:tc>
          <w:tcPr>
            <w:tcW w:type="dxa" w:w="836"/>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44.89</w:t>
            </w:r>
          </w:p>
        </w:tc>
        <w:tc>
          <w:tcPr>
            <w:tcW w:type="dxa" w:w="836"/>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2.86</w:t>
            </w:r>
          </w:p>
        </w:tc>
        <w:tc>
          <w:tcPr>
            <w:tcW w:type="dxa" w:w="836"/>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4.01</w:t>
            </w:r>
          </w:p>
        </w:tc>
        <w:tc>
          <w:tcPr>
            <w:tcW w:type="dxa" w:w="836"/>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11.57</w:t>
            </w:r>
          </w:p>
        </w:tc>
        <w:tc>
          <w:tcPr>
            <w:tcW w:type="dxa" w:w="836"/>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19.65</w:t>
            </w:r>
          </w:p>
        </w:tc>
        <w:tc>
          <w:tcPr>
            <w:tcW w:type="dxa" w:w="836"/>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1.5</w:t>
            </w:r>
          </w:p>
        </w:tc>
        <w:tc>
          <w:tcPr>
            <w:tcW w:type="dxa" w:w="836"/>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1.1</w:t>
            </w:r>
          </w:p>
        </w:tc>
        <w:tc>
          <w:tcPr>
            <w:tcW w:type="dxa" w:w="836"/>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n.a.</w:t>
            </w:r>
          </w:p>
        </w:tc>
        <w:tc>
          <w:tcPr>
            <w:tcW w:type="dxa" w:w="842"/>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n.a.</w:t>
            </w:r>
          </w:p>
        </w:tc>
      </w:tr>
      <w:tr>
        <w:trPr>
          <w:cantSplit/>
        </w:trPr>
        <w:tc>
          <w:tcPr>
            <w:tcW w:type="dxa" w:w="1500"/>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bCs/>
                <w:color w:val="000000"/>
                <w:sz w:val="15"/>
                <w:szCs w:val="15"/>
              </w:rPr>
              <w:t xml:space="preserve">Median firm</w:t>
            </w:r>
          </w:p>
        </w:tc>
        <w:tc>
          <w:tcPr>
            <w:tcW w:type="dxa" w:w="836"/>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14.26</w:t>
            </w:r>
          </w:p>
        </w:tc>
        <w:tc>
          <w:tcPr>
            <w:tcW w:type="dxa" w:w="836"/>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51.21</w:t>
            </w:r>
          </w:p>
        </w:tc>
        <w:tc>
          <w:tcPr>
            <w:tcW w:type="dxa" w:w="836"/>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2.19</w:t>
            </w:r>
          </w:p>
        </w:tc>
        <w:tc>
          <w:tcPr>
            <w:tcW w:type="dxa" w:w="836"/>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3.00</w:t>
            </w:r>
          </w:p>
        </w:tc>
        <w:tc>
          <w:tcPr>
            <w:tcW w:type="dxa" w:w="836"/>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7.08</w:t>
            </w:r>
          </w:p>
        </w:tc>
        <w:tc>
          <w:tcPr>
            <w:tcW w:type="dxa" w:w="836"/>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11.12</w:t>
            </w:r>
          </w:p>
        </w:tc>
        <w:tc>
          <w:tcPr>
            <w:tcW w:type="dxa" w:w="836"/>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0.3</w:t>
            </w:r>
          </w:p>
        </w:tc>
        <w:tc>
          <w:tcPr>
            <w:tcW w:type="dxa" w:w="836"/>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0.5</w:t>
            </w:r>
          </w:p>
        </w:tc>
        <w:tc>
          <w:tcPr>
            <w:tcW w:type="dxa" w:w="836"/>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-21.9</w:t>
            </w:r>
          </w:p>
        </w:tc>
        <w:tc>
          <w:tcPr>
            <w:tcW w:type="dxa" w:w="842"/>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28.8</w:t>
            </w:r>
          </w:p>
        </w:tc>
      </w:tr>
    </w:tbl>
    <w:p>
      <w:pPr>
        <w:spacing w:after="40"/>
      </w:pPr>
    </w:p>
    <w:p>
      <w:pPr>
        <w:spacing w:after="80" w:line="252"/>
        <w:jc w:val="both"/>
      </w:pPr>
      <w:r>
        <w:rPr>
          <w:rFonts w:ascii="Calibri" w:cs="Calibri" w:eastAsia="Calibri" w:hAnsi="Calibri"/>
          <w:sz w:val="20"/>
          <w:szCs w:val="20"/>
        </w:rPr>
        <w:t xml:space="preserve">The market pays for quality and scale. The industry trades at an aggregate 27.38x P/E and 2.86x P/B in FY26, against 14.26x and 2.19x for the median firm. Blue Dart (45.48x P/E, 6.33x P/B) and CONCOR (26.08x) command premiums for their franchises and returns. The very high P/Es of Mahindra Logistics (1,441.65x) and Allcargo (134.43x) reflect near-zero earnings, not optimism. On EV/EBITDA, which is less distorted, they trade at 9.72x and 6.06x. Patel looks cheapest: P/E 5.99x, P/B 0.47x (below book value), dividend yield 2.4%. Tiger (11.74x), Jet Freight (11.64x) and Shreeji (P/B 0.68x) are also valued below the industry. CONCOR is the income stock (payout 52.7%, yield 2.0%); most small caps pay nothing. FY26 was a year of de-rating: total shareholder return was negative for eight of the ten firms (median -21.9%). EPS and book value per share are in the workbook. TCI's EPS has grown every year, from Rs 18.54 to Rs 59.49. </w:t>
      </w:r>
      <w:r>
        <w:rPr>
          <w:rFonts w:ascii="Calibri" w:cs="Calibri" w:eastAsia="Calibri" w:hAnsi="Calibri"/>
          <w:b/>
          <w:bCs/>
          <w:sz w:val="20"/>
          <w:szCs w:val="20"/>
        </w:rPr>
        <w:t xml:space="preserve">Cash EPS</w:t>
      </w:r>
      <w:r>
        <w:rPr>
          <w:rFonts w:ascii="Calibri" w:cs="Calibri" w:eastAsia="Calibri" w:hAnsi="Calibri"/>
          <w:sz w:val="20"/>
          <w:szCs w:val="20"/>
        </w:rPr>
        <w:t xml:space="preserve"> reveals depreciation-heavy models: Blue Dart's cash EPS (Rs 330.57) is three times its EPS (Rs 104.38), and Mahindra Logistics' is Rs 28.24 against an EPS of only Rs 0.23. Most firms retain all or most earnings (median retention 92.8%). Mahindra Logistics paid a DPS of Rs 2.50 on EPS of Rs 0.23 (payout 1083.0%), i.e. out of reserves. The </w:t>
      </w:r>
      <w:r>
        <w:rPr>
          <w:rFonts w:ascii="Calibri" w:cs="Calibri" w:eastAsia="Calibri" w:hAnsi="Calibri"/>
          <w:b/>
          <w:bCs/>
          <w:sz w:val="20"/>
          <w:szCs w:val="20"/>
        </w:rPr>
        <w:t xml:space="preserve">earnings yield</w:t>
      </w:r>
      <w:r>
        <w:rPr>
          <w:rFonts w:ascii="Calibri" w:cs="Calibri" w:eastAsia="Calibri" w:hAnsi="Calibri"/>
          <w:sz w:val="20"/>
          <w:szCs w:val="20"/>
        </w:rPr>
        <w:t xml:space="preserve"> of Patel (16.7%) is more than four times the industry's 3.7%.</w:t>
      </w:r>
    </w:p>
    <w:p>
      <w:pPr>
        <w:pStyle w:val="Heading1"/>
        <w:keepNext/>
        <w:spacing w:after="60" w:before="160"/>
      </w:pPr>
      <w:r>
        <w:rPr>
          <w:rFonts w:ascii="Calibri" w:cs="Calibri" w:eastAsia="Calibri" w:hAnsi="Calibri"/>
          <w:b/>
          <w:bCs/>
          <w:color w:val="1F3864"/>
          <w:sz w:val="24"/>
          <w:szCs w:val="24"/>
        </w:rPr>
        <w:t xml:space="preserve">5. Current versus past performance (FY2020-FY2026)</w:t>
      </w:r>
    </w:p>
    <w:p>
      <w:pPr>
        <w:keepNext/>
        <w:spacing w:after="20" w:before="60"/>
        <w:jc w:val="center"/>
      </w:pPr>
      <w:r>
        <w:drawing>
          <wp:inline distT="0" distB="0" distL="0" distR="0">
            <wp:extent cx="5762625" cy="1866900"/>
            <wp:effectExtent t="0" r="0" b="0" l="0"/>
            <wp:docPr id="1" name="fig2.png" descr="Figure 2: Industry aggregate vs median firm, FY2020-FY2026" title="Figure 2: Industry aggregate vs median firm, FY2020-FY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1866900"/>
                    </a:xfrm>
                    <a:prstGeom prst="rect">
                      <a:avLst/>
                    </a:prstGeom>
                  </pic:spPr>
                </pic:pic>
              </a:graphicData>
            </a:graphic>
          </wp:inline>
        </w:drawing>
      </w:r>
    </w:p>
    <w:p>
      <w:pPr>
        <w:spacing w:after="100"/>
        <w:jc w:val="center"/>
      </w:pPr>
      <w:r>
        <w:rPr>
          <w:rFonts w:ascii="Calibri" w:cs="Calibri" w:eastAsia="Calibri" w:hAnsi="Calibri"/>
          <w:i/>
          <w:iCs/>
          <w:color w:val="404040"/>
          <w:sz w:val="16"/>
          <w:szCs w:val="16"/>
        </w:rPr>
        <w:t xml:space="preserve">Figure 2: Industry aggregate vs median firm, FY2020-FY2026</w:t>
      </w:r>
    </w:p>
    <w:p>
      <w:pPr>
        <w:keepNext/>
        <w:spacing w:after="40" w:before="100"/>
      </w:pPr>
      <w:r>
        <w:rPr>
          <w:rFonts w:ascii="Calibri" w:cs="Calibri" w:eastAsia="Calibri" w:hAnsi="Calibri"/>
          <w:b/>
          <w:bCs/>
          <w:color w:val="1F3864"/>
          <w:sz w:val="16"/>
          <w:szCs w:val="16"/>
        </w:rPr>
        <w:t xml:space="preserve">Table 8: Then and now: FY2020 vs FY2026 for key ratios, with sales CAGR (%)</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929"/>
        <w:gridCol w:w="929"/>
        <w:gridCol w:w="929"/>
        <w:gridCol w:w="929"/>
        <w:gridCol w:w="929"/>
        <w:gridCol w:w="929"/>
        <w:gridCol w:w="929"/>
        <w:gridCol w:w="929"/>
        <w:gridCol w:w="934"/>
      </w:tblGrid>
      <w:tr>
        <w:trPr>
          <w:cantSplit/>
          <w:tblHeader/>
        </w:trPr>
        <w:tc>
          <w:tcPr>
            <w:tcW w:type="dxa" w:w="1500"/>
            <w:vMerge w:val="restart"/>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Firm</w:t>
            </w:r>
          </w:p>
        </w:tc>
        <w:tc>
          <w:tcPr>
            <w:tcW w:type="dxa" w:w="1858"/>
            <w:gridSpan w:val="2"/>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ROCE (%)</w:t>
            </w:r>
          </w:p>
        </w:tc>
        <w:tc>
          <w:tcPr>
            <w:tcW w:type="dxa" w:w="1858"/>
            <w:gridSpan w:val="2"/>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Op. EBITDA margin (%)</w:t>
            </w:r>
          </w:p>
        </w:tc>
        <w:tc>
          <w:tcPr>
            <w:tcW w:type="dxa" w:w="1858"/>
            <w:gridSpan w:val="2"/>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Debt-equity (x)</w:t>
            </w:r>
          </w:p>
        </w:tc>
        <w:tc>
          <w:tcPr>
            <w:tcW w:type="dxa" w:w="1858"/>
            <w:gridSpan w:val="2"/>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Interest cover (x)</w:t>
            </w:r>
          </w:p>
        </w:tc>
        <w:tc>
          <w:tcPr>
            <w:tcW w:type="dxa" w:w="934"/>
            <w:vMerge w:val="restart"/>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Sales CAGR FY20-26</w:t>
            </w:r>
          </w:p>
        </w:tc>
      </w:tr>
      <w:tr>
        <w:trPr>
          <w:cantSplit/>
          <w:tblHeader/>
        </w:trPr>
        <w:tc>
          <w:tcPr>
            <w:vMerge w:val="continue"/>
            <w:tcBorders>
              <w:top w:val="single" w:color="BFBFBF" w:sz="4"/>
              <w:left w:val="single" w:color="BFBFBF" w:sz="4"/>
              <w:bottom w:val="single" w:color="BFBFBF" w:sz="4"/>
              <w:right w:val="single" w:color="BFBFBF" w:sz="4"/>
            </w:tcBorders>
          </w:tcPr>
          <w:p/>
        </w:tc>
        <w:tc>
          <w:tcPr>
            <w:tcW w:type="dxa" w:w="929"/>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FY20</w:t>
            </w:r>
          </w:p>
        </w:tc>
        <w:tc>
          <w:tcPr>
            <w:tcW w:type="dxa" w:w="929"/>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FY26</w:t>
            </w:r>
          </w:p>
        </w:tc>
        <w:tc>
          <w:tcPr>
            <w:tcW w:type="dxa" w:w="929"/>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FY20</w:t>
            </w:r>
          </w:p>
        </w:tc>
        <w:tc>
          <w:tcPr>
            <w:tcW w:type="dxa" w:w="929"/>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FY26</w:t>
            </w:r>
          </w:p>
        </w:tc>
        <w:tc>
          <w:tcPr>
            <w:tcW w:type="dxa" w:w="929"/>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FY20</w:t>
            </w:r>
          </w:p>
        </w:tc>
        <w:tc>
          <w:tcPr>
            <w:tcW w:type="dxa" w:w="929"/>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FY26</w:t>
            </w:r>
          </w:p>
        </w:tc>
        <w:tc>
          <w:tcPr>
            <w:tcW w:type="dxa" w:w="929"/>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FY20</w:t>
            </w:r>
          </w:p>
        </w:tc>
        <w:tc>
          <w:tcPr>
            <w:tcW w:type="dxa" w:w="929"/>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FY26</w:t>
            </w:r>
          </w:p>
        </w:tc>
        <w:tc>
          <w:tcPr>
            <w:vMerge w:val="continue"/>
            <w:tcBorders>
              <w:top w:val="single" w:color="BFBFBF" w:sz="4"/>
              <w:left w:val="single" w:color="BFBFBF" w:sz="4"/>
              <w:bottom w:val="single" w:color="BFBFBF" w:sz="4"/>
              <w:right w:val="single" w:color="BFBFBF" w:sz="4"/>
            </w:tcBorders>
          </w:tcPr>
          <w:p/>
        </w:tc>
      </w:tr>
      <w:tr>
        <w:trPr>
          <w:cantSplit/>
        </w:trPr>
        <w:tc>
          <w:tcPr>
            <w:tcW w:type="dxa" w:w="15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Tiger</w:t>
            </w:r>
          </w:p>
        </w:tc>
        <w:tc>
          <w:tcPr>
            <w:tcW w:type="dxa" w:w="929"/>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-8.1</w:t>
            </w:r>
          </w:p>
        </w:tc>
        <w:tc>
          <w:tcPr>
            <w:tcW w:type="dxa" w:w="929"/>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13.3</w:t>
            </w:r>
          </w:p>
        </w:tc>
        <w:tc>
          <w:tcPr>
            <w:tcW w:type="dxa" w:w="929"/>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-2.8</w:t>
            </w:r>
          </w:p>
        </w:tc>
        <w:tc>
          <w:tcPr>
            <w:tcW w:type="dxa" w:w="929"/>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4.7</w:t>
            </w:r>
          </w:p>
        </w:tc>
        <w:tc>
          <w:tcPr>
            <w:tcW w:type="dxa" w:w="929"/>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0.70</w:t>
            </w:r>
          </w:p>
        </w:tc>
        <w:tc>
          <w:tcPr>
            <w:tcW w:type="dxa" w:w="929"/>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0.32</w:t>
            </w:r>
          </w:p>
        </w:tc>
        <w:tc>
          <w:tcPr>
            <w:tcW w:type="dxa" w:w="929"/>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-1.73</w:t>
            </w:r>
          </w:p>
        </w:tc>
        <w:tc>
          <w:tcPr>
            <w:tcW w:type="dxa" w:w="929"/>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6.53</w:t>
            </w:r>
          </w:p>
        </w:tc>
        <w:tc>
          <w:tcPr>
            <w:tcW w:type="dxa" w:w="934"/>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11.3</w:t>
            </w:r>
          </w:p>
        </w:tc>
      </w:tr>
      <w:tr>
        <w:trPr>
          <w:cantSplit/>
        </w:trPr>
        <w:tc>
          <w:tcPr>
            <w:tcW w:type="dxa" w:w="15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Allcargo</w:t>
            </w:r>
          </w:p>
        </w:tc>
        <w:tc>
          <w:tcPr>
            <w:tcW w:type="dxa" w:w="929"/>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9.2</w:t>
            </w:r>
          </w:p>
        </w:tc>
        <w:tc>
          <w:tcPr>
            <w:tcW w:type="dxa" w:w="929"/>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5.1</w:t>
            </w:r>
          </w:p>
        </w:tc>
        <w:tc>
          <w:tcPr>
            <w:tcW w:type="dxa" w:w="929"/>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7.0</w:t>
            </w:r>
          </w:p>
        </w:tc>
        <w:tc>
          <w:tcPr>
            <w:tcW w:type="dxa" w:w="929"/>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11.4</w:t>
            </w:r>
          </w:p>
        </w:tc>
        <w:tc>
          <w:tcPr>
            <w:tcW w:type="dxa" w:w="929"/>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0.75</w:t>
            </w:r>
          </w:p>
        </w:tc>
        <w:tc>
          <w:tcPr>
            <w:tcW w:type="dxa" w:w="929"/>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1.21</w:t>
            </w:r>
          </w:p>
        </w:tc>
        <w:tc>
          <w:tcPr>
            <w:tcW w:type="dxa" w:w="929"/>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5.09</w:t>
            </w:r>
          </w:p>
        </w:tc>
        <w:tc>
          <w:tcPr>
            <w:tcW w:type="dxa" w:w="929"/>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1.06</w:t>
            </w:r>
          </w:p>
        </w:tc>
        <w:tc>
          <w:tcPr>
            <w:tcW w:type="dxa" w:w="934"/>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-19.1</w:t>
            </w:r>
          </w:p>
        </w:tc>
      </w:tr>
      <w:tr>
        <w:trPr>
          <w:cantSplit/>
        </w:trPr>
        <w:tc>
          <w:tcPr>
            <w:tcW w:type="dxa" w:w="15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Blue Dart</w:t>
            </w:r>
          </w:p>
        </w:tc>
        <w:tc>
          <w:tcPr>
            <w:tcW w:type="dxa" w:w="929"/>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7.2</w:t>
            </w:r>
          </w:p>
        </w:tc>
        <w:tc>
          <w:tcPr>
            <w:tcW w:type="dxa" w:w="929"/>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11.4</w:t>
            </w:r>
          </w:p>
        </w:tc>
        <w:tc>
          <w:tcPr>
            <w:tcW w:type="dxa" w:w="929"/>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14.9</w:t>
            </w:r>
          </w:p>
        </w:tc>
        <w:tc>
          <w:tcPr>
            <w:tcW w:type="dxa" w:w="929"/>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15.5</w:t>
            </w:r>
          </w:p>
        </w:tc>
        <w:tc>
          <w:tcPr>
            <w:tcW w:type="dxa" w:w="929"/>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1.08</w:t>
            </w:r>
          </w:p>
        </w:tc>
        <w:tc>
          <w:tcPr>
            <w:tcW w:type="dxa" w:w="929"/>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0.64</w:t>
            </w:r>
          </w:p>
        </w:tc>
        <w:tc>
          <w:tcPr>
            <w:tcW w:type="dxa" w:w="929"/>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0.67</w:t>
            </w:r>
          </w:p>
        </w:tc>
        <w:tc>
          <w:tcPr>
            <w:tcW w:type="dxa" w:w="929"/>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4.82</w:t>
            </w:r>
          </w:p>
        </w:tc>
        <w:tc>
          <w:tcPr>
            <w:tcW w:type="dxa" w:w="934"/>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11.6</w:t>
            </w:r>
          </w:p>
        </w:tc>
      </w:tr>
      <w:tr>
        <w:trPr>
          <w:cantSplit/>
        </w:trPr>
        <w:tc>
          <w:tcPr>
            <w:tcW w:type="dxa" w:w="15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CONCOR</w:t>
            </w:r>
          </w:p>
        </w:tc>
        <w:tc>
          <w:tcPr>
            <w:tcW w:type="dxa" w:w="929"/>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4.2</w:t>
            </w:r>
          </w:p>
        </w:tc>
        <w:tc>
          <w:tcPr>
            <w:tcW w:type="dxa" w:w="929"/>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9.6</w:t>
            </w:r>
          </w:p>
        </w:tc>
        <w:tc>
          <w:tcPr>
            <w:tcW w:type="dxa" w:w="929"/>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25.9</w:t>
            </w:r>
          </w:p>
        </w:tc>
        <w:tc>
          <w:tcPr>
            <w:tcW w:type="dxa" w:w="929"/>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21.5</w:t>
            </w:r>
          </w:p>
        </w:tc>
        <w:tc>
          <w:tcPr>
            <w:tcW w:type="dxa" w:w="929"/>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0.01</w:t>
            </w:r>
          </w:p>
        </w:tc>
        <w:tc>
          <w:tcPr>
            <w:tcW w:type="dxa" w:w="929"/>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0.07</w:t>
            </w:r>
          </w:p>
        </w:tc>
        <w:tc>
          <w:tcPr>
            <w:tcW w:type="dxa" w:w="929"/>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12.71</w:t>
            </w:r>
          </w:p>
        </w:tc>
        <w:tc>
          <w:tcPr>
            <w:tcW w:type="dxa" w:w="929"/>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22.02</w:t>
            </w:r>
          </w:p>
        </w:tc>
        <w:tc>
          <w:tcPr>
            <w:tcW w:type="dxa" w:w="934"/>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5.6</w:t>
            </w:r>
          </w:p>
        </w:tc>
      </w:tr>
      <w:tr>
        <w:trPr>
          <w:cantSplit/>
        </w:trPr>
        <w:tc>
          <w:tcPr>
            <w:tcW w:type="dxa" w:w="15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Jet Freight</w:t>
            </w:r>
          </w:p>
        </w:tc>
        <w:tc>
          <w:tcPr>
            <w:tcW w:type="dxa" w:w="929"/>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-6.6</w:t>
            </w:r>
          </w:p>
        </w:tc>
        <w:tc>
          <w:tcPr>
            <w:tcW w:type="dxa" w:w="929"/>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7.9</w:t>
            </w:r>
          </w:p>
        </w:tc>
        <w:tc>
          <w:tcPr>
            <w:tcW w:type="dxa" w:w="929"/>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-1.2</w:t>
            </w:r>
          </w:p>
        </w:tc>
        <w:tc>
          <w:tcPr>
            <w:tcW w:type="dxa" w:w="929"/>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3.7</w:t>
            </w:r>
          </w:p>
        </w:tc>
        <w:tc>
          <w:tcPr>
            <w:tcW w:type="dxa" w:w="929"/>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2.16</w:t>
            </w:r>
          </w:p>
        </w:tc>
        <w:tc>
          <w:tcPr>
            <w:tcW w:type="dxa" w:w="929"/>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1.02</w:t>
            </w:r>
          </w:p>
        </w:tc>
        <w:tc>
          <w:tcPr>
            <w:tcW w:type="dxa" w:w="929"/>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-0.90</w:t>
            </w:r>
          </w:p>
        </w:tc>
        <w:tc>
          <w:tcPr>
            <w:tcW w:type="dxa" w:w="929"/>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2.66</w:t>
            </w:r>
          </w:p>
        </w:tc>
        <w:tc>
          <w:tcPr>
            <w:tcW w:type="dxa" w:w="934"/>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6.8</w:t>
            </w:r>
          </w:p>
        </w:tc>
      </w:tr>
      <w:tr>
        <w:trPr>
          <w:cantSplit/>
        </w:trPr>
        <w:tc>
          <w:tcPr>
            <w:tcW w:type="dxa" w:w="15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Patel</w:t>
            </w:r>
          </w:p>
        </w:tc>
        <w:tc>
          <w:tcPr>
            <w:tcW w:type="dxa" w:w="929"/>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8.8</w:t>
            </w:r>
          </w:p>
        </w:tc>
        <w:tc>
          <w:tcPr>
            <w:tcW w:type="dxa" w:w="929"/>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7.5</w:t>
            </w:r>
          </w:p>
        </w:tc>
        <w:tc>
          <w:tcPr>
            <w:tcW w:type="dxa" w:w="929"/>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2.3</w:t>
            </w:r>
          </w:p>
        </w:tc>
        <w:tc>
          <w:tcPr>
            <w:tcW w:type="dxa" w:w="929"/>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2.9</w:t>
            </w:r>
          </w:p>
        </w:tc>
        <w:tc>
          <w:tcPr>
            <w:tcW w:type="dxa" w:w="929"/>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0.51</w:t>
            </w:r>
          </w:p>
        </w:tc>
        <w:tc>
          <w:tcPr>
            <w:tcW w:type="dxa" w:w="929"/>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0.05</w:t>
            </w:r>
          </w:p>
        </w:tc>
        <w:tc>
          <w:tcPr>
            <w:tcW w:type="dxa" w:w="929"/>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2.74</w:t>
            </w:r>
          </w:p>
        </w:tc>
        <w:tc>
          <w:tcPr>
            <w:tcW w:type="dxa" w:w="929"/>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30.46</w:t>
            </w:r>
          </w:p>
        </w:tc>
        <w:tc>
          <w:tcPr>
            <w:tcW w:type="dxa" w:w="934"/>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0.5</w:t>
            </w:r>
          </w:p>
        </w:tc>
      </w:tr>
      <w:tr>
        <w:trPr>
          <w:cantSplit/>
        </w:trPr>
        <w:tc>
          <w:tcPr>
            <w:tcW w:type="dxa" w:w="15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Sical</w:t>
            </w:r>
          </w:p>
        </w:tc>
        <w:tc>
          <w:tcPr>
            <w:tcW w:type="dxa" w:w="929"/>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-4.1</w:t>
            </w:r>
          </w:p>
        </w:tc>
        <w:tc>
          <w:tcPr>
            <w:tcW w:type="dxa" w:w="929"/>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18.2</w:t>
            </w:r>
          </w:p>
        </w:tc>
        <w:tc>
          <w:tcPr>
            <w:tcW w:type="dxa" w:w="929"/>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-2.2</w:t>
            </w:r>
          </w:p>
        </w:tc>
        <w:tc>
          <w:tcPr>
            <w:tcW w:type="dxa" w:w="929"/>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20.3</w:t>
            </w:r>
          </w:p>
        </w:tc>
        <w:tc>
          <w:tcPr>
            <w:tcW w:type="dxa" w:w="929"/>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2.60</w:t>
            </w:r>
          </w:p>
        </w:tc>
        <w:tc>
          <w:tcPr>
            <w:tcW w:type="dxa" w:w="929"/>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3.69</w:t>
            </w:r>
          </w:p>
        </w:tc>
        <w:tc>
          <w:tcPr>
            <w:tcW w:type="dxa" w:w="929"/>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-1.42</w:t>
            </w:r>
          </w:p>
        </w:tc>
        <w:tc>
          <w:tcPr>
            <w:tcW w:type="dxa" w:w="929"/>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1.79</w:t>
            </w:r>
          </w:p>
        </w:tc>
        <w:tc>
          <w:tcPr>
            <w:tcW w:type="dxa" w:w="934"/>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-14.8</w:t>
            </w:r>
          </w:p>
        </w:tc>
      </w:tr>
      <w:tr>
        <w:trPr>
          <w:cantSplit/>
        </w:trPr>
        <w:tc>
          <w:tcPr>
            <w:tcW w:type="dxa" w:w="15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TCI</w:t>
            </w:r>
          </w:p>
        </w:tc>
        <w:tc>
          <w:tcPr>
            <w:tcW w:type="dxa" w:w="929"/>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12.4</w:t>
            </w:r>
          </w:p>
        </w:tc>
        <w:tc>
          <w:tcPr>
            <w:tcW w:type="dxa" w:w="929"/>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18.2</w:t>
            </w:r>
          </w:p>
        </w:tc>
        <w:tc>
          <w:tcPr>
            <w:tcW w:type="dxa" w:w="929"/>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8.9</w:t>
            </w:r>
          </w:p>
        </w:tc>
        <w:tc>
          <w:tcPr>
            <w:tcW w:type="dxa" w:w="929"/>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10.6</w:t>
            </w:r>
          </w:p>
        </w:tc>
        <w:tc>
          <w:tcPr>
            <w:tcW w:type="dxa" w:w="929"/>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0.41</w:t>
            </w:r>
          </w:p>
        </w:tc>
        <w:tc>
          <w:tcPr>
            <w:tcW w:type="dxa" w:w="929"/>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0.12</w:t>
            </w:r>
          </w:p>
        </w:tc>
        <w:tc>
          <w:tcPr>
            <w:tcW w:type="dxa" w:w="929"/>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5.64</w:t>
            </w:r>
          </w:p>
        </w:tc>
        <w:tc>
          <w:tcPr>
            <w:tcW w:type="dxa" w:w="929"/>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22.93</w:t>
            </w:r>
          </w:p>
        </w:tc>
        <w:tc>
          <w:tcPr>
            <w:tcW w:type="dxa" w:w="934"/>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10.4</w:t>
            </w:r>
          </w:p>
        </w:tc>
      </w:tr>
      <w:tr>
        <w:trPr>
          <w:cantSplit/>
        </w:trPr>
        <w:tc>
          <w:tcPr>
            <w:tcW w:type="dxa" w:w="15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Shreeji</w:t>
            </w:r>
          </w:p>
        </w:tc>
        <w:tc>
          <w:tcPr>
            <w:tcW w:type="dxa" w:w="929"/>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5.8</w:t>
            </w:r>
          </w:p>
        </w:tc>
        <w:tc>
          <w:tcPr>
            <w:tcW w:type="dxa" w:w="929"/>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6.9</w:t>
            </w:r>
          </w:p>
        </w:tc>
        <w:tc>
          <w:tcPr>
            <w:tcW w:type="dxa" w:w="929"/>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8.2</w:t>
            </w:r>
          </w:p>
        </w:tc>
        <w:tc>
          <w:tcPr>
            <w:tcW w:type="dxa" w:w="929"/>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3.3</w:t>
            </w:r>
          </w:p>
        </w:tc>
        <w:tc>
          <w:tcPr>
            <w:tcW w:type="dxa" w:w="929"/>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1.80</w:t>
            </w:r>
          </w:p>
        </w:tc>
        <w:tc>
          <w:tcPr>
            <w:tcW w:type="dxa" w:w="929"/>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0.67</w:t>
            </w:r>
          </w:p>
        </w:tc>
        <w:tc>
          <w:tcPr>
            <w:tcW w:type="dxa" w:w="929"/>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1.62</w:t>
            </w:r>
          </w:p>
        </w:tc>
        <w:tc>
          <w:tcPr>
            <w:tcW w:type="dxa" w:w="929"/>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1.86</w:t>
            </w:r>
          </w:p>
        </w:tc>
        <w:tc>
          <w:tcPr>
            <w:tcW w:type="dxa" w:w="934"/>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13.4</w:t>
            </w:r>
          </w:p>
        </w:tc>
      </w:tr>
      <w:tr>
        <w:trPr>
          <w:cantSplit/>
        </w:trPr>
        <w:tc>
          <w:tcPr>
            <w:tcW w:type="dxa" w:w="15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Mahindra Log.</w:t>
            </w:r>
          </w:p>
        </w:tc>
        <w:tc>
          <w:tcPr>
            <w:tcW w:type="dxa" w:w="929"/>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10.5</w:t>
            </w:r>
          </w:p>
        </w:tc>
        <w:tc>
          <w:tcPr>
            <w:tcW w:type="dxa" w:w="929"/>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2.2</w:t>
            </w:r>
          </w:p>
        </w:tc>
        <w:tc>
          <w:tcPr>
            <w:tcW w:type="dxa" w:w="929"/>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4.6</w:t>
            </w:r>
          </w:p>
        </w:tc>
        <w:tc>
          <w:tcPr>
            <w:tcW w:type="dxa" w:w="929"/>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5.4</w:t>
            </w:r>
          </w:p>
        </w:tc>
        <w:tc>
          <w:tcPr>
            <w:tcW w:type="dxa" w:w="929"/>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0.37</w:t>
            </w:r>
          </w:p>
        </w:tc>
        <w:tc>
          <w:tcPr>
            <w:tcW w:type="dxa" w:w="929"/>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0.55</w:t>
            </w:r>
          </w:p>
        </w:tc>
        <w:tc>
          <w:tcPr>
            <w:tcW w:type="dxa" w:w="929"/>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5.61</w:t>
            </w:r>
          </w:p>
        </w:tc>
        <w:tc>
          <w:tcPr>
            <w:tcW w:type="dxa" w:w="929"/>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1.44</w:t>
            </w:r>
          </w:p>
        </w:tc>
        <w:tc>
          <w:tcPr>
            <w:tcW w:type="dxa" w:w="934"/>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12.4</w:t>
            </w:r>
          </w:p>
        </w:tc>
      </w:tr>
      <w:tr>
        <w:trPr>
          <w:cantSplit/>
        </w:trPr>
        <w:tc>
          <w:tcPr>
            <w:tcW w:type="dxa" w:w="1500"/>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bCs/>
                <w:color w:val="000000"/>
                <w:sz w:val="15"/>
                <w:szCs w:val="15"/>
              </w:rPr>
              <w:t xml:space="preserve">Industry (agg.)</w:t>
            </w:r>
          </w:p>
        </w:tc>
        <w:tc>
          <w:tcPr>
            <w:tcW w:type="dxa" w:w="929"/>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4.9</w:t>
            </w:r>
          </w:p>
        </w:tc>
        <w:tc>
          <w:tcPr>
            <w:tcW w:type="dxa" w:w="929"/>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10.4</w:t>
            </w:r>
          </w:p>
        </w:tc>
        <w:tc>
          <w:tcPr>
            <w:tcW w:type="dxa" w:w="929"/>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12.1</w:t>
            </w:r>
          </w:p>
        </w:tc>
        <w:tc>
          <w:tcPr>
            <w:tcW w:type="dxa" w:w="929"/>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13.4</w:t>
            </w:r>
          </w:p>
        </w:tc>
        <w:tc>
          <w:tcPr>
            <w:tcW w:type="dxa" w:w="929"/>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0.29</w:t>
            </w:r>
          </w:p>
        </w:tc>
        <w:tc>
          <w:tcPr>
            <w:tcW w:type="dxa" w:w="929"/>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0.23</w:t>
            </w:r>
          </w:p>
        </w:tc>
        <w:tc>
          <w:tcPr>
            <w:tcW w:type="dxa" w:w="929"/>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3.50</w:t>
            </w:r>
          </w:p>
        </w:tc>
        <w:tc>
          <w:tcPr>
            <w:tcW w:type="dxa" w:w="929"/>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7.36</w:t>
            </w:r>
          </w:p>
        </w:tc>
        <w:tc>
          <w:tcPr>
            <w:tcW w:type="dxa" w:w="934"/>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3.5</w:t>
            </w:r>
          </w:p>
        </w:tc>
      </w:tr>
      <w:tr>
        <w:trPr>
          <w:cantSplit/>
        </w:trPr>
        <w:tc>
          <w:tcPr>
            <w:tcW w:type="dxa" w:w="1500"/>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bCs/>
                <w:color w:val="000000"/>
                <w:sz w:val="15"/>
                <w:szCs w:val="15"/>
              </w:rPr>
              <w:t xml:space="preserve">Median firm</w:t>
            </w:r>
          </w:p>
        </w:tc>
        <w:tc>
          <w:tcPr>
            <w:tcW w:type="dxa" w:w="929"/>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6.5</w:t>
            </w:r>
          </w:p>
        </w:tc>
        <w:tc>
          <w:tcPr>
            <w:tcW w:type="dxa" w:w="929"/>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8.7</w:t>
            </w:r>
          </w:p>
        </w:tc>
        <w:tc>
          <w:tcPr>
            <w:tcW w:type="dxa" w:w="929"/>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5.8</w:t>
            </w:r>
          </w:p>
        </w:tc>
        <w:tc>
          <w:tcPr>
            <w:tcW w:type="dxa" w:w="929"/>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8.0</w:t>
            </w:r>
          </w:p>
        </w:tc>
        <w:tc>
          <w:tcPr>
            <w:tcW w:type="dxa" w:w="929"/>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0.72</w:t>
            </w:r>
          </w:p>
        </w:tc>
        <w:tc>
          <w:tcPr>
            <w:tcW w:type="dxa" w:w="929"/>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0.60</w:t>
            </w:r>
          </w:p>
        </w:tc>
        <w:tc>
          <w:tcPr>
            <w:tcW w:type="dxa" w:w="929"/>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2.18</w:t>
            </w:r>
          </w:p>
        </w:tc>
        <w:tc>
          <w:tcPr>
            <w:tcW w:type="dxa" w:w="929"/>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3.74</w:t>
            </w:r>
          </w:p>
        </w:tc>
        <w:tc>
          <w:tcPr>
            <w:tcW w:type="dxa" w:w="934"/>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8.6</w:t>
            </w:r>
          </w:p>
        </w:tc>
      </w:tr>
    </w:tbl>
    <w:p>
      <w:pPr>
        <w:spacing w:after="40"/>
      </w:pPr>
    </w:p>
    <w:p>
      <w:pPr>
        <w:spacing w:after="80" w:line="252"/>
        <w:jc w:val="both"/>
      </w:pPr>
      <w:r>
        <w:rPr>
          <w:rFonts w:ascii="Calibri" w:cs="Calibri" w:eastAsia="Calibri" w:hAnsi="Calibri"/>
          <w:sz w:val="20"/>
          <w:szCs w:val="20"/>
        </w:rPr>
        <w:t xml:space="preserve">Over the seven years the industry went through three phases. </w:t>
      </w:r>
      <w:r>
        <w:rPr>
          <w:rFonts w:ascii="Calibri" w:cs="Calibri" w:eastAsia="Calibri" w:hAnsi="Calibri"/>
          <w:b/>
          <w:bCs/>
          <w:sz w:val="20"/>
          <w:szCs w:val="20"/>
        </w:rPr>
        <w:t xml:space="preserve">FY2021 (COVID):</w:t>
      </w:r>
      <w:r>
        <w:rPr>
          <w:rFonts w:ascii="Calibri" w:cs="Calibri" w:eastAsia="Calibri" w:hAnsi="Calibri"/>
          <w:sz w:val="20"/>
          <w:szCs w:val="20"/>
        </w:rPr>
        <w:t xml:space="preserve"> the industry made an aggregate net loss of Rs 213 cr, mostly from Sical's Rs 1,160 cr loss, and median ROCE fell to 4.8%. </w:t>
      </w:r>
      <w:r>
        <w:rPr>
          <w:rFonts w:ascii="Calibri" w:cs="Calibri" w:eastAsia="Calibri" w:hAnsi="Calibri"/>
          <w:b/>
          <w:bCs/>
          <w:sz w:val="20"/>
          <w:szCs w:val="20"/>
        </w:rPr>
        <w:t xml:space="preserve">FY2022-FY2023 (freight boom):</w:t>
      </w:r>
      <w:r>
        <w:rPr>
          <w:rFonts w:ascii="Calibri" w:cs="Calibri" w:eastAsia="Calibri" w:hAnsi="Calibri"/>
          <w:sz w:val="20"/>
          <w:szCs w:val="20"/>
        </w:rPr>
        <w:t xml:space="preserve"> median ROCE jumped to 12.9% and median ROE to 22.3%, with Tiger (53.3%) and Allcargo (21.2%) the biggest beneficiaries of high ocean-freight rates. </w:t>
      </w:r>
      <w:r>
        <w:rPr>
          <w:rFonts w:ascii="Calibri" w:cs="Calibri" w:eastAsia="Calibri" w:hAnsi="Calibri"/>
          <w:b/>
          <w:bCs/>
          <w:sz w:val="20"/>
          <w:szCs w:val="20"/>
        </w:rPr>
        <w:t xml:space="preserve">FY2024-FY2026 (normalisation):</w:t>
      </w:r>
      <w:r>
        <w:rPr>
          <w:rFonts w:ascii="Calibri" w:cs="Calibri" w:eastAsia="Calibri" w:hAnsi="Calibri"/>
          <w:sz w:val="20"/>
          <w:szCs w:val="20"/>
        </w:rPr>
        <w:t xml:space="preserve"> median ROCE eased to 6.3% in FY25 before recovering to 8.7%. Through the cycle, the industry's </w:t>
      </w:r>
      <w:r>
        <w:rPr>
          <w:rFonts w:ascii="Calibri" w:cs="Calibri" w:eastAsia="Calibri" w:hAnsi="Calibri"/>
          <w:b/>
          <w:bCs/>
          <w:sz w:val="20"/>
          <w:szCs w:val="20"/>
        </w:rPr>
        <w:t xml:space="preserve">balance sheet strengthened</w:t>
      </w:r>
      <w:r>
        <w:rPr>
          <w:rFonts w:ascii="Calibri" w:cs="Calibri" w:eastAsia="Calibri" w:hAnsi="Calibri"/>
          <w:sz w:val="20"/>
          <w:szCs w:val="20"/>
        </w:rPr>
        <w:t xml:space="preserve"> (current ratio 1.56x to 2.44x, interest cover 3.50x to 7.36x, proprietary ratio 57.4% to 66.9%) and the median operating margin edged up from 5.8% to 8.0%. Cash generation did not keep pace: aggregate CFO/CL slipped from 0.82x to 0.63x. Aggregate sales fell after FY23 only because of Allcargo (freight-rate normalisation in FY24, then the post-restructuring perimeter from FY25). </w:t>
      </w:r>
      <w:r>
        <w:rPr>
          <w:rFonts w:ascii="Calibri" w:cs="Calibri" w:eastAsia="Calibri" w:hAnsi="Calibri"/>
          <w:b/>
          <w:bCs/>
          <w:sz w:val="20"/>
          <w:szCs w:val="20"/>
        </w:rPr>
        <w:t xml:space="preserve">Excluding Allcargo, industry sales grew from Rs 17,959 cr to Rs 29,130 cr (8.4% CAGR).</w:t>
      </w:r>
      <w:r>
        <w:rPr>
          <w:rFonts w:ascii="Calibri" w:cs="Calibri" w:eastAsia="Calibri" w:hAnsi="Calibri"/>
          <w:sz w:val="20"/>
          <w:szCs w:val="20"/>
        </w:rPr>
        <w:t xml:space="preserve"> At firm level, the clear improvers are TCI, CONCOR (ROCE 4.2% to 9.6%), Patel (deleveraging), Blue Dart and Jet Freight, plus Sical's post-IBC turnaround. Mahindra Logistics (ROCE 10.5% to 2.2%, interest cover 5.61x to 1.44x) and Allcargo (9.2% to 5.1%) deteriorated.</w:t>
      </w:r>
    </w:p>
    <w:p>
      <w:pPr>
        <w:pStyle w:val="Heading1"/>
        <w:keepNext/>
        <w:spacing w:after="60" w:before="160"/>
      </w:pPr>
      <w:r>
        <w:rPr>
          <w:rFonts w:ascii="Calibri" w:cs="Calibri" w:eastAsia="Calibri" w:hAnsi="Calibri"/>
          <w:b/>
          <w:bCs/>
          <w:color w:val="1F3864"/>
          <w:sz w:val="24"/>
          <w:szCs w:val="24"/>
        </w:rPr>
        <w:t xml:space="preserve">6. DuPont analysis and growth capacity</w:t>
      </w:r>
    </w:p>
    <w:p>
      <w:pPr>
        <w:keepNext/>
        <w:spacing w:after="40" w:before="100"/>
      </w:pPr>
      <w:r>
        <w:rPr>
          <w:rFonts w:ascii="Calibri" w:cs="Calibri" w:eastAsia="Calibri" w:hAnsi="Calibri"/>
          <w:b/>
          <w:bCs/>
          <w:color w:val="1F3864"/>
          <w:sz w:val="16"/>
          <w:szCs w:val="16"/>
        </w:rPr>
        <w:t xml:space="preserve">Table 9: Five-way DuPont decomposition of FY26 ROE, with 7-year average internal and sustainable growth rates</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045"/>
        <w:gridCol w:w="1045"/>
        <w:gridCol w:w="1045"/>
        <w:gridCol w:w="1045"/>
        <w:gridCol w:w="1045"/>
        <w:gridCol w:w="1045"/>
        <w:gridCol w:w="1045"/>
        <w:gridCol w:w="1051"/>
      </w:tblGrid>
      <w:tr>
        <w:trPr>
          <w:cantSplit/>
          <w:tblHeader/>
        </w:trPr>
        <w:tc>
          <w:tcPr>
            <w:tcW w:type="dxa" w:w="1500"/>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Firm</w:t>
            </w:r>
          </w:p>
        </w:tc>
        <w:tc>
          <w:tcPr>
            <w:tcW w:type="dxa" w:w="1045"/>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Tax burden (EAT/EBT)</w:t>
            </w:r>
          </w:p>
        </w:tc>
        <w:tc>
          <w:tcPr>
            <w:tcW w:type="dxa" w:w="1045"/>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Interest burden (EBT/EBIT)</w:t>
            </w:r>
          </w:p>
        </w:tc>
        <w:tc>
          <w:tcPr>
            <w:tcW w:type="dxa" w:w="1045"/>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EBIT margin (%)</w:t>
            </w:r>
          </w:p>
        </w:tc>
        <w:tc>
          <w:tcPr>
            <w:tcW w:type="dxa" w:w="1045"/>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Asset turnover (x)</w:t>
            </w:r>
          </w:p>
        </w:tc>
        <w:tc>
          <w:tcPr>
            <w:tcW w:type="dxa" w:w="1045"/>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Equity multiplier (x)</w:t>
            </w:r>
          </w:p>
        </w:tc>
        <w:tc>
          <w:tcPr>
            <w:tcW w:type="dxa" w:w="1045"/>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ROE (%)</w:t>
            </w:r>
          </w:p>
        </w:tc>
        <w:tc>
          <w:tcPr>
            <w:tcW w:type="dxa" w:w="1045"/>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Internal growth (%)</w:t>
            </w:r>
          </w:p>
        </w:tc>
        <w:tc>
          <w:tcPr>
            <w:tcW w:type="dxa" w:w="1051"/>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Sustainable growth (%)</w:t>
            </w:r>
          </w:p>
        </w:tc>
      </w:tr>
      <w:tr>
        <w:trPr>
          <w:cantSplit/>
        </w:trPr>
        <w:tc>
          <w:tcPr>
            <w:tcW w:type="dxa" w:w="15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Tiger</w:t>
            </w:r>
          </w:p>
        </w:tc>
        <w:tc>
          <w:tcPr>
            <w:tcW w:type="dxa" w:w="1045"/>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0.74</w:t>
            </w:r>
          </w:p>
        </w:tc>
        <w:tc>
          <w:tcPr>
            <w:tcW w:type="dxa" w:w="1045"/>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0.85</w:t>
            </w:r>
          </w:p>
        </w:tc>
        <w:tc>
          <w:tcPr>
            <w:tcW w:type="dxa" w:w="1045"/>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6.0</w:t>
            </w:r>
          </w:p>
        </w:tc>
        <w:tc>
          <w:tcPr>
            <w:tcW w:type="dxa" w:w="1045"/>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2.50</w:t>
            </w:r>
          </w:p>
        </w:tc>
        <w:tc>
          <w:tcPr>
            <w:tcW w:type="dxa" w:w="1045"/>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1.54</w:t>
            </w:r>
          </w:p>
        </w:tc>
        <w:tc>
          <w:tcPr>
            <w:tcW w:type="dxa" w:w="1045"/>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14.4</w:t>
            </w:r>
          </w:p>
        </w:tc>
        <w:tc>
          <w:tcPr>
            <w:tcW w:type="dxa" w:w="1045"/>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22.1</w:t>
            </w:r>
          </w:p>
        </w:tc>
        <w:tc>
          <w:tcPr>
            <w:tcW w:type="dxa" w:w="1051"/>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44.5</w:t>
            </w:r>
          </w:p>
        </w:tc>
      </w:tr>
      <w:tr>
        <w:trPr>
          <w:cantSplit/>
        </w:trPr>
        <w:tc>
          <w:tcPr>
            <w:tcW w:type="dxa" w:w="15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Allcargo</w:t>
            </w:r>
          </w:p>
        </w:tc>
        <w:tc>
          <w:tcPr>
            <w:tcW w:type="dxa" w:w="1045"/>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2.00</w:t>
            </w:r>
          </w:p>
        </w:tc>
        <w:tc>
          <w:tcPr>
            <w:tcW w:type="dxa" w:w="1045"/>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0.06</w:t>
            </w:r>
          </w:p>
        </w:tc>
        <w:tc>
          <w:tcPr>
            <w:tcW w:type="dxa" w:w="1045"/>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3.2</w:t>
            </w:r>
          </w:p>
        </w:tc>
        <w:tc>
          <w:tcPr>
            <w:tcW w:type="dxa" w:w="1045"/>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1.18</w:t>
            </w:r>
          </w:p>
        </w:tc>
        <w:tc>
          <w:tcPr>
            <w:tcW w:type="dxa" w:w="1045"/>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3.06</w:t>
            </w:r>
          </w:p>
        </w:tc>
        <w:tc>
          <w:tcPr>
            <w:tcW w:type="dxa" w:w="1045"/>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1.4</w:t>
            </w:r>
          </w:p>
        </w:tc>
        <w:tc>
          <w:tcPr>
            <w:tcW w:type="dxa" w:w="1045"/>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2.8</w:t>
            </w:r>
          </w:p>
        </w:tc>
        <w:tc>
          <w:tcPr>
            <w:tcW w:type="dxa" w:w="1051"/>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10.2</w:t>
            </w:r>
          </w:p>
        </w:tc>
      </w:tr>
      <w:tr>
        <w:trPr>
          <w:cantSplit/>
        </w:trPr>
        <w:tc>
          <w:tcPr>
            <w:tcW w:type="dxa" w:w="15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Blue Dart</w:t>
            </w:r>
          </w:p>
        </w:tc>
        <w:tc>
          <w:tcPr>
            <w:tcW w:type="dxa" w:w="1045"/>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0.76</w:t>
            </w:r>
          </w:p>
        </w:tc>
        <w:tc>
          <w:tcPr>
            <w:tcW w:type="dxa" w:w="1045"/>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0.79</w:t>
            </w:r>
          </w:p>
        </w:tc>
        <w:tc>
          <w:tcPr>
            <w:tcW w:type="dxa" w:w="1045"/>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6.7</w:t>
            </w:r>
          </w:p>
        </w:tc>
        <w:tc>
          <w:tcPr>
            <w:tcW w:type="dxa" w:w="1045"/>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1.58</w:t>
            </w:r>
          </w:p>
        </w:tc>
        <w:tc>
          <w:tcPr>
            <w:tcW w:type="dxa" w:w="1045"/>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2.34</w:t>
            </w:r>
          </w:p>
        </w:tc>
        <w:tc>
          <w:tcPr>
            <w:tcW w:type="dxa" w:w="1045"/>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14.8</w:t>
            </w:r>
          </w:p>
        </w:tc>
        <w:tc>
          <w:tcPr>
            <w:tcW w:type="dxa" w:w="1045"/>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6.9</w:t>
            </w:r>
          </w:p>
        </w:tc>
        <w:tc>
          <w:tcPr>
            <w:tcW w:type="dxa" w:w="1051"/>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25.9</w:t>
            </w:r>
          </w:p>
        </w:tc>
      </w:tr>
      <w:tr>
        <w:trPr>
          <w:cantSplit/>
        </w:trPr>
        <w:tc>
          <w:tcPr>
            <w:tcW w:type="dxa" w:w="15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CONCOR</w:t>
            </w:r>
          </w:p>
        </w:tc>
        <w:tc>
          <w:tcPr>
            <w:tcW w:type="dxa" w:w="1045"/>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0.75</w:t>
            </w:r>
          </w:p>
        </w:tc>
        <w:tc>
          <w:tcPr>
            <w:tcW w:type="dxa" w:w="1045"/>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0.95</w:t>
            </w:r>
          </w:p>
        </w:tc>
        <w:tc>
          <w:tcPr>
            <w:tcW w:type="dxa" w:w="1045"/>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19.0</w:t>
            </w:r>
          </w:p>
        </w:tc>
        <w:tc>
          <w:tcPr>
            <w:tcW w:type="dxa" w:w="1045"/>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0.61</w:t>
            </w:r>
          </w:p>
        </w:tc>
        <w:tc>
          <w:tcPr>
            <w:tcW w:type="dxa" w:w="1045"/>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1.17</w:t>
            </w:r>
          </w:p>
        </w:tc>
        <w:tc>
          <w:tcPr>
            <w:tcW w:type="dxa" w:w="1045"/>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9.8</w:t>
            </w:r>
          </w:p>
        </w:tc>
        <w:tc>
          <w:tcPr>
            <w:tcW w:type="dxa" w:w="1045"/>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3.4</w:t>
            </w:r>
          </w:p>
        </w:tc>
        <w:tc>
          <w:tcPr>
            <w:tcW w:type="dxa" w:w="1051"/>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4.1</w:t>
            </w:r>
          </w:p>
        </w:tc>
      </w:tr>
      <w:tr>
        <w:trPr>
          <w:cantSplit/>
        </w:trPr>
        <w:tc>
          <w:tcPr>
            <w:tcW w:type="dxa" w:w="15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Jet Freight</w:t>
            </w:r>
          </w:p>
        </w:tc>
        <w:tc>
          <w:tcPr>
            <w:tcW w:type="dxa" w:w="1045"/>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0.59</w:t>
            </w:r>
          </w:p>
        </w:tc>
        <w:tc>
          <w:tcPr>
            <w:tcW w:type="dxa" w:w="1045"/>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0.62</w:t>
            </w:r>
          </w:p>
        </w:tc>
        <w:tc>
          <w:tcPr>
            <w:tcW w:type="dxa" w:w="1045"/>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4.2</w:t>
            </w:r>
          </w:p>
        </w:tc>
        <w:tc>
          <w:tcPr>
            <w:tcW w:type="dxa" w:w="1045"/>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2.36</w:t>
            </w:r>
          </w:p>
        </w:tc>
        <w:tc>
          <w:tcPr>
            <w:tcW w:type="dxa" w:w="1045"/>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2.71</w:t>
            </w:r>
          </w:p>
        </w:tc>
        <w:tc>
          <w:tcPr>
            <w:tcW w:type="dxa" w:w="1045"/>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9.8</w:t>
            </w:r>
          </w:p>
        </w:tc>
        <w:tc>
          <w:tcPr>
            <w:tcW w:type="dxa" w:w="1045"/>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1.9</w:t>
            </w:r>
          </w:p>
        </w:tc>
        <w:tc>
          <w:tcPr>
            <w:tcW w:type="dxa" w:w="1051"/>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7.6</w:t>
            </w:r>
          </w:p>
        </w:tc>
      </w:tr>
      <w:tr>
        <w:trPr>
          <w:cantSplit/>
        </w:trPr>
        <w:tc>
          <w:tcPr>
            <w:tcW w:type="dxa" w:w="15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Patel</w:t>
            </w:r>
          </w:p>
        </w:tc>
        <w:tc>
          <w:tcPr>
            <w:tcW w:type="dxa" w:w="1045"/>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0.93</w:t>
            </w:r>
          </w:p>
        </w:tc>
        <w:tc>
          <w:tcPr>
            <w:tcW w:type="dxa" w:w="1045"/>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0.97</w:t>
            </w:r>
          </w:p>
        </w:tc>
        <w:tc>
          <w:tcPr>
            <w:tcW w:type="dxa" w:w="1045"/>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3.0</w:t>
            </w:r>
          </w:p>
        </w:tc>
        <w:tc>
          <w:tcPr>
            <w:tcW w:type="dxa" w:w="1045"/>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2.16</w:t>
            </w:r>
          </w:p>
        </w:tc>
        <w:tc>
          <w:tcPr>
            <w:tcW w:type="dxa" w:w="1045"/>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1.35</w:t>
            </w:r>
          </w:p>
        </w:tc>
        <w:tc>
          <w:tcPr>
            <w:tcW w:type="dxa" w:w="1045"/>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7.8</w:t>
            </w:r>
          </w:p>
        </w:tc>
        <w:tc>
          <w:tcPr>
            <w:tcW w:type="dxa" w:w="1045"/>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2.8</w:t>
            </w:r>
          </w:p>
        </w:tc>
        <w:tc>
          <w:tcPr>
            <w:tcW w:type="dxa" w:w="1051"/>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4.4</w:t>
            </w:r>
          </w:p>
        </w:tc>
      </w:tr>
      <w:tr>
        <w:trPr>
          <w:cantSplit/>
        </w:trPr>
        <w:tc>
          <w:tcPr>
            <w:tcW w:type="dxa" w:w="15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Sical</w:t>
            </w:r>
          </w:p>
        </w:tc>
        <w:tc>
          <w:tcPr>
            <w:tcW w:type="dxa" w:w="1045"/>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0.86</w:t>
            </w:r>
          </w:p>
        </w:tc>
        <w:tc>
          <w:tcPr>
            <w:tcW w:type="dxa" w:w="1045"/>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0.44</w:t>
            </w:r>
          </w:p>
        </w:tc>
        <w:tc>
          <w:tcPr>
            <w:tcW w:type="dxa" w:w="1045"/>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33.5</w:t>
            </w:r>
          </w:p>
        </w:tc>
        <w:tc>
          <w:tcPr>
            <w:tcW w:type="dxa" w:w="1045"/>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0.44</w:t>
            </w:r>
          </w:p>
        </w:tc>
        <w:tc>
          <w:tcPr>
            <w:tcW w:type="dxa" w:w="1045"/>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13.96</w:t>
            </w:r>
          </w:p>
        </w:tc>
        <w:tc>
          <w:tcPr>
            <w:tcW w:type="dxa" w:w="1045"/>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77.9</w:t>
            </w:r>
          </w:p>
        </w:tc>
        <w:tc>
          <w:tcPr>
            <w:tcW w:type="dxa" w:w="1045"/>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5.9</w:t>
            </w:r>
          </w:p>
        </w:tc>
        <w:tc>
          <w:tcPr>
            <w:tcW w:type="dxa" w:w="1051"/>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352.5</w:t>
            </w:r>
          </w:p>
        </w:tc>
      </w:tr>
      <w:tr>
        <w:trPr>
          <w:cantSplit/>
        </w:trPr>
        <w:tc>
          <w:tcPr>
            <w:tcW w:type="dxa" w:w="15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TCI</w:t>
            </w:r>
          </w:p>
        </w:tc>
        <w:tc>
          <w:tcPr>
            <w:tcW w:type="dxa" w:w="1045"/>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0.91</w:t>
            </w:r>
          </w:p>
        </w:tc>
        <w:tc>
          <w:tcPr>
            <w:tcW w:type="dxa" w:w="1045"/>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0.96</w:t>
            </w:r>
          </w:p>
        </w:tc>
        <w:tc>
          <w:tcPr>
            <w:tcW w:type="dxa" w:w="1045"/>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10.6</w:t>
            </w:r>
          </w:p>
        </w:tc>
        <w:tc>
          <w:tcPr>
            <w:tcW w:type="dxa" w:w="1045"/>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1.53</w:t>
            </w:r>
          </w:p>
        </w:tc>
        <w:tc>
          <w:tcPr>
            <w:tcW w:type="dxa" w:w="1045"/>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1.36</w:t>
            </w:r>
          </w:p>
        </w:tc>
        <w:tc>
          <w:tcPr>
            <w:tcW w:type="dxa" w:w="1045"/>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19.3</w:t>
            </w:r>
          </w:p>
        </w:tc>
        <w:tc>
          <w:tcPr>
            <w:tcW w:type="dxa" w:w="1045"/>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13.1</w:t>
            </w:r>
          </w:p>
        </w:tc>
        <w:tc>
          <w:tcPr>
            <w:tcW w:type="dxa" w:w="1051"/>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18.9</w:t>
            </w:r>
          </w:p>
        </w:tc>
      </w:tr>
      <w:tr>
        <w:trPr>
          <w:cantSplit/>
        </w:trPr>
        <w:tc>
          <w:tcPr>
            <w:tcW w:type="dxa" w:w="15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Shreeji</w:t>
            </w:r>
          </w:p>
        </w:tc>
        <w:tc>
          <w:tcPr>
            <w:tcW w:type="dxa" w:w="1045"/>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0.89</w:t>
            </w:r>
          </w:p>
        </w:tc>
        <w:tc>
          <w:tcPr>
            <w:tcW w:type="dxa" w:w="1045"/>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0.46</w:t>
            </w:r>
          </w:p>
        </w:tc>
        <w:tc>
          <w:tcPr>
            <w:tcW w:type="dxa" w:w="1045"/>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3.3</w:t>
            </w:r>
          </w:p>
        </w:tc>
        <w:tc>
          <w:tcPr>
            <w:tcW w:type="dxa" w:w="1045"/>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2.00</w:t>
            </w:r>
          </w:p>
        </w:tc>
        <w:tc>
          <w:tcPr>
            <w:tcW w:type="dxa" w:w="1045"/>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2.01</w:t>
            </w:r>
          </w:p>
        </w:tc>
        <w:tc>
          <w:tcPr>
            <w:tcW w:type="dxa" w:w="1045"/>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5.4</w:t>
            </w:r>
          </w:p>
        </w:tc>
        <w:tc>
          <w:tcPr>
            <w:tcW w:type="dxa" w:w="1045"/>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6.6</w:t>
            </w:r>
          </w:p>
        </w:tc>
        <w:tc>
          <w:tcPr>
            <w:tcW w:type="dxa" w:w="1051"/>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20.4</w:t>
            </w:r>
          </w:p>
        </w:tc>
      </w:tr>
      <w:tr>
        <w:trPr>
          <w:cantSplit/>
        </w:trPr>
        <w:tc>
          <w:tcPr>
            <w:tcW w:type="dxa" w:w="15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Mahindra Log.</w:t>
            </w:r>
          </w:p>
        </w:tc>
        <w:tc>
          <w:tcPr>
            <w:tcW w:type="dxa" w:w="1045"/>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0.07</w:t>
            </w:r>
          </w:p>
        </w:tc>
        <w:tc>
          <w:tcPr>
            <w:tcW w:type="dxa" w:w="1045"/>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0.31</w:t>
            </w:r>
          </w:p>
        </w:tc>
        <w:tc>
          <w:tcPr>
            <w:tcW w:type="dxa" w:w="1045"/>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1.5</w:t>
            </w:r>
          </w:p>
        </w:tc>
        <w:tc>
          <w:tcPr>
            <w:tcW w:type="dxa" w:w="1045"/>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2.46</w:t>
            </w:r>
          </w:p>
        </w:tc>
        <w:tc>
          <w:tcPr>
            <w:tcW w:type="dxa" w:w="1045"/>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3.52</w:t>
            </w:r>
          </w:p>
        </w:tc>
        <w:tc>
          <w:tcPr>
            <w:tcW w:type="dxa" w:w="1045"/>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0.3</w:t>
            </w:r>
          </w:p>
        </w:tc>
        <w:tc>
          <w:tcPr>
            <w:tcW w:type="dxa" w:w="1045"/>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0.8</w:t>
            </w:r>
          </w:p>
        </w:tc>
        <w:tc>
          <w:tcPr>
            <w:tcW w:type="dxa" w:w="1051"/>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2.2</w:t>
            </w:r>
          </w:p>
        </w:tc>
      </w:tr>
      <w:tr>
        <w:trPr>
          <w:cantSplit/>
        </w:trPr>
        <w:tc>
          <w:tcPr>
            <w:tcW w:type="dxa" w:w="1500"/>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bCs/>
                <w:color w:val="000000"/>
                <w:sz w:val="15"/>
                <w:szCs w:val="15"/>
              </w:rPr>
              <w:t xml:space="preserve">Industry (agg.)</w:t>
            </w:r>
          </w:p>
        </w:tc>
        <w:tc>
          <w:tcPr>
            <w:tcW w:type="dxa" w:w="1045"/>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0.78</w:t>
            </w:r>
          </w:p>
        </w:tc>
        <w:tc>
          <w:tcPr>
            <w:tcW w:type="dxa" w:w="1045"/>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0.86</w:t>
            </w:r>
          </w:p>
        </w:tc>
        <w:tc>
          <w:tcPr>
            <w:tcW w:type="dxa" w:w="1045"/>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9.7</w:t>
            </w:r>
          </w:p>
        </w:tc>
        <w:tc>
          <w:tcPr>
            <w:tcW w:type="dxa" w:w="1045"/>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1.11</w:t>
            </w:r>
          </w:p>
        </w:tc>
        <w:tc>
          <w:tcPr>
            <w:tcW w:type="dxa" w:w="1045"/>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1.52</w:t>
            </w:r>
          </w:p>
        </w:tc>
        <w:tc>
          <w:tcPr>
            <w:tcW w:type="dxa" w:w="1045"/>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11.0</w:t>
            </w:r>
          </w:p>
        </w:tc>
        <w:tc>
          <w:tcPr>
            <w:tcW w:type="dxa" w:w="1045"/>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3.5</w:t>
            </w:r>
          </w:p>
        </w:tc>
        <w:tc>
          <w:tcPr>
            <w:tcW w:type="dxa" w:w="1051"/>
            <w:tcBorders>
              <w:top w:val="single" w:color="BFBFBF" w:sz="4"/>
              <w:left w:val="single" w:color="BFBFBF" w:sz="4"/>
              <w:bottom w:val="single" w:color="BFBFBF" w:sz="4"/>
              <w:right w:val="single" w:color="BFBFBF" w:sz="4"/>
            </w:tcBorders>
            <w:shd w:fill="E7ECF5"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bCs/>
                <w:color w:val="000000"/>
                <w:sz w:val="15"/>
                <w:szCs w:val="15"/>
              </w:rPr>
              <w:t xml:space="preserve">6.3</w:t>
            </w:r>
          </w:p>
        </w:tc>
      </w:tr>
    </w:tbl>
    <w:p>
      <w:pPr>
        <w:spacing w:after="40"/>
      </w:pPr>
    </w:p>
    <w:p>
      <w:pPr>
        <w:spacing w:after="80" w:line="252"/>
        <w:jc w:val="both"/>
      </w:pPr>
      <w:r>
        <w:rPr>
          <w:rFonts w:ascii="Calibri" w:cs="Calibri" w:eastAsia="Calibri" w:hAnsi="Calibri"/>
          <w:sz w:val="20"/>
          <w:szCs w:val="20"/>
        </w:rPr>
        <w:t xml:space="preserve">DuPont shows that similar ROEs can differ greatly in quality. </w:t>
      </w:r>
      <w:r>
        <w:rPr>
          <w:rFonts w:ascii="Calibri" w:cs="Calibri" w:eastAsia="Calibri" w:hAnsi="Calibri"/>
          <w:b/>
          <w:bCs/>
          <w:sz w:val="20"/>
          <w:szCs w:val="20"/>
        </w:rPr>
        <w:t xml:space="preserve">TCI's 19.3% ROE is high quality</w:t>
      </w:r>
      <w:r>
        <w:rPr>
          <w:rFonts w:ascii="Calibri" w:cs="Calibri" w:eastAsia="Calibri" w:hAnsi="Calibri"/>
          <w:sz w:val="20"/>
          <w:szCs w:val="20"/>
        </w:rPr>
        <w:t xml:space="preserve">: a 10.6% EBIT margin, 1.53x turnover, low leverage (1.36x) and almost no interest drag (interest burden 0.96x). Tiger reaches 14.4% mainly through asset turnover (2.50x), and Blue Dart reaches 14.8% through margin and moderate leverage. </w:t>
      </w:r>
      <w:r>
        <w:rPr>
          <w:rFonts w:ascii="Calibri" w:cs="Calibri" w:eastAsia="Calibri" w:hAnsi="Calibri"/>
          <w:b/>
          <w:bCs/>
          <w:sz w:val="20"/>
          <w:szCs w:val="20"/>
        </w:rPr>
        <w:t xml:space="preserve">Sical's 77.9% ROE is almost entirely leverage</w:t>
      </w:r>
      <w:r>
        <w:rPr>
          <w:rFonts w:ascii="Calibri" w:cs="Calibri" w:eastAsia="Calibri" w:hAnsi="Calibri"/>
          <w:sz w:val="20"/>
          <w:szCs w:val="20"/>
        </w:rPr>
        <w:t xml:space="preserve"> (equity multiplier 13.96x). Mahindra Logistics has good turnover (2.46x) and leverage (3.52x), but interest (0.31x) and tax (0.07x) consume nearly all of its EBIT. Allcargo's interest burden of 0.06x does the same. CONCOR's ROE (9.8%) is capped by low turnover and an under-levered, cash-rich balance sheet (multiplier 1.17x). On growth capacity, TCI's sustainable growth rate (18.9%) exceeds its sales growth (10.4% CAGR), so its expansion is self-funded. Mahindra Logistics' negative FY26 SGR against 14.7% sales growth is consistent with its need for external equity.</w:t>
      </w:r>
    </w:p>
    <w:p>
      <w:pPr>
        <w:pStyle w:val="Heading1"/>
        <w:keepNext/>
        <w:spacing w:after="60" w:before="160"/>
      </w:pPr>
      <w:r>
        <w:rPr>
          <w:rFonts w:ascii="Calibri" w:cs="Calibri" w:eastAsia="Calibri" w:hAnsi="Calibri"/>
          <w:b/>
          <w:bCs/>
          <w:color w:val="1F3864"/>
          <w:sz w:val="24"/>
          <w:szCs w:val="24"/>
        </w:rPr>
        <w:t xml:space="preserve">7. Statistical analysis</w:t>
      </w:r>
    </w:p>
    <w:p>
      <w:pPr>
        <w:spacing w:after="80" w:line="252"/>
        <w:jc w:val="both"/>
      </w:pPr>
      <w:r>
        <w:rPr>
          <w:rFonts w:ascii="Calibri" w:cs="Calibri" w:eastAsia="Calibri" w:hAnsi="Calibri"/>
          <w:b/>
          <w:bCs/>
          <w:sz w:val="20"/>
          <w:szCs w:val="20"/>
        </w:rPr>
        <w:t xml:space="preserve">Descriptive statistics (70 firm-years).</w:t>
      </w:r>
      <w:r>
        <w:rPr>
          <w:rFonts w:ascii="Calibri" w:cs="Calibri" w:eastAsia="Calibri" w:hAnsi="Calibri"/>
          <w:sz w:val="20"/>
          <w:szCs w:val="20"/>
        </w:rPr>
        <w:t xml:space="preserve"> The ratio distributions are heavily skewed by a few extreme firm-years. ROCE has mean 5.9% but median 7.7% (skewness -3.9); debt-equity has mean 1.16x but median 0.67x (skewness 5.6). Excluding Sical, the ROCE mean becomes 10.0%. This justifies using the median firm as the benchmark. Even the operating EBITDA margin is right-skewed (mean 8.1% vs median 6.4%), pulled up by CONCOR and Blue Dart.</w:t>
      </w:r>
    </w:p>
    <w:p>
      <w:pPr>
        <w:spacing w:after="80" w:line="252"/>
        <w:jc w:val="both"/>
      </w:pPr>
      <w:r>
        <w:rPr>
          <w:rFonts w:ascii="Calibri" w:cs="Calibri" w:eastAsia="Calibri" w:hAnsi="Calibri"/>
          <w:b/>
          <w:bCs/>
          <w:sz w:val="20"/>
          <w:szCs w:val="20"/>
        </w:rPr>
        <w:t xml:space="preserve">Correlation (63 firm-years, 9 firms).</w:t>
      </w:r>
      <w:r>
        <w:rPr>
          <w:rFonts w:ascii="Calibri" w:cs="Calibri" w:eastAsia="Calibri" w:hAnsi="Calibri"/>
          <w:sz w:val="20"/>
          <w:szCs w:val="20"/>
        </w:rPr>
        <w:t xml:space="preserve"> Asset intensity is positively correlated with operating margin (r = 0.70) and negatively with asset turnover (r = -0.62). Margin and turnover are themselves negatively correlated (r = -0.57), which confirms the trade-off in Figure 1. Interest cover moves with net margin (r = 0.76) and against debt-equity (r = -0.63). Longer collection periods go with lower margins (r = -0.47): slow-paying customers are a feature of low-margin businesses.</w:t>
      </w:r>
    </w:p>
    <w:p>
      <w:pPr>
        <w:keepNext/>
        <w:spacing w:after="40" w:before="100"/>
      </w:pPr>
      <w:r>
        <w:rPr>
          <w:rFonts w:ascii="Calibri" w:cs="Calibri" w:eastAsia="Calibri" w:hAnsi="Calibri"/>
          <w:b/>
          <w:bCs/>
          <w:color w:val="1F3864"/>
          <w:sz w:val="16"/>
          <w:szCs w:val="16"/>
        </w:rPr>
        <w:t xml:space="preserve">Table 10: OLS regression of ROCE on its drivers (n = 63; R-squared = 0.613; adj. R-squared = 0.586; F = 22.96, p &lt; 0.001)</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1600"/>
        <w:gridCol w:w="1600"/>
        <w:gridCol w:w="1600"/>
        <w:gridCol w:w="1600"/>
      </w:tblGrid>
      <w:tr>
        <w:trPr>
          <w:cantSplit/>
          <w:tblHeader/>
        </w:trPr>
        <w:tc>
          <w:tcPr>
            <w:tcW w:type="dxa" w:w="3200"/>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Explanatory variable</w:t>
            </w:r>
          </w:p>
        </w:tc>
        <w:tc>
          <w:tcPr>
            <w:tcW w:type="dxa" w:w="1600"/>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Coefficient</w:t>
            </w:r>
          </w:p>
        </w:tc>
        <w:tc>
          <w:tcPr>
            <w:tcW w:type="dxa" w:w="1600"/>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Std. error</w:t>
            </w:r>
          </w:p>
        </w:tc>
        <w:tc>
          <w:tcPr>
            <w:tcW w:type="dxa" w:w="1600"/>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t-stat</w:t>
            </w:r>
          </w:p>
        </w:tc>
        <w:tc>
          <w:tcPr>
            <w:tcW w:type="dxa" w:w="1600"/>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p-value</w:t>
            </w:r>
          </w:p>
        </w:tc>
      </w:tr>
      <w:tr>
        <w:trPr>
          <w:cantSplit/>
        </w:trPr>
        <w:tc>
          <w:tcPr>
            <w:tcW w:type="dxa" w:w="32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Intercept</w:t>
            </w:r>
          </w:p>
        </w:tc>
        <w:tc>
          <w:tcPr>
            <w:tcW w:type="dxa" w:w="16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-0.0841</w:t>
            </w:r>
          </w:p>
        </w:tc>
        <w:tc>
          <w:tcPr>
            <w:tcW w:type="dxa" w:w="16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0.0480</w:t>
            </w:r>
          </w:p>
        </w:tc>
        <w:tc>
          <w:tcPr>
            <w:tcW w:type="dxa" w:w="16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-1.75</w:t>
            </w:r>
          </w:p>
        </w:tc>
        <w:tc>
          <w:tcPr>
            <w:tcW w:type="dxa" w:w="16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0.085</w:t>
            </w:r>
          </w:p>
        </w:tc>
      </w:tr>
      <w:tr>
        <w:trPr>
          <w:cantSplit/>
        </w:trPr>
        <w:tc>
          <w:tcPr>
            <w:tcW w:type="dxa" w:w="32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Total assets turnover (x)</w:t>
            </w:r>
          </w:p>
        </w:tc>
        <w:tc>
          <w:tcPr>
            <w:tcW w:type="dxa" w:w="16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0.0799</w:t>
            </w:r>
          </w:p>
        </w:tc>
        <w:tc>
          <w:tcPr>
            <w:tcW w:type="dxa" w:w="16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0.0097</w:t>
            </w:r>
          </w:p>
        </w:tc>
        <w:tc>
          <w:tcPr>
            <w:tcW w:type="dxa" w:w="16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8.25</w:t>
            </w:r>
          </w:p>
        </w:tc>
        <w:tc>
          <w:tcPr>
            <w:tcW w:type="dxa" w:w="16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&lt;0.001</w:t>
            </w:r>
          </w:p>
        </w:tc>
      </w:tr>
      <w:tr>
        <w:trPr>
          <w:cantSplit/>
        </w:trPr>
        <w:tc>
          <w:tcPr>
            <w:tcW w:type="dxa" w:w="32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Operating EBITDA margin</w:t>
            </w:r>
          </w:p>
        </w:tc>
        <w:tc>
          <w:tcPr>
            <w:tcW w:type="dxa" w:w="16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1.0107</w:t>
            </w:r>
          </w:p>
        </w:tc>
        <w:tc>
          <w:tcPr>
            <w:tcW w:type="dxa" w:w="16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0.1498</w:t>
            </w:r>
          </w:p>
        </w:tc>
        <w:tc>
          <w:tcPr>
            <w:tcW w:type="dxa" w:w="16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6.75</w:t>
            </w:r>
          </w:p>
        </w:tc>
        <w:tc>
          <w:tcPr>
            <w:tcW w:type="dxa" w:w="16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&lt;0.001</w:t>
            </w:r>
          </w:p>
        </w:tc>
      </w:tr>
      <w:tr>
        <w:trPr>
          <w:cantSplit/>
        </w:trPr>
        <w:tc>
          <w:tcPr>
            <w:tcW w:type="dxa" w:w="32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Debt-equity (x)</w:t>
            </w:r>
          </w:p>
        </w:tc>
        <w:tc>
          <w:tcPr>
            <w:tcW w:type="dxa" w:w="16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-0.0442</w:t>
            </w:r>
          </w:p>
        </w:tc>
        <w:tc>
          <w:tcPr>
            <w:tcW w:type="dxa" w:w="16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0.0124</w:t>
            </w:r>
          </w:p>
        </w:tc>
        <w:tc>
          <w:tcPr>
            <w:tcW w:type="dxa" w:w="16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-3.57</w:t>
            </w:r>
          </w:p>
        </w:tc>
        <w:tc>
          <w:tcPr>
            <w:tcW w:type="dxa" w:w="16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&lt;0.001</w:t>
            </w:r>
          </w:p>
        </w:tc>
      </w:tr>
      <w:tr>
        <w:trPr>
          <w:cantSplit/>
        </w:trPr>
        <w:tc>
          <w:tcPr>
            <w:tcW w:type="dxa" w:w="32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ln(Sales)</w:t>
            </w:r>
          </w:p>
        </w:tc>
        <w:tc>
          <w:tcPr>
            <w:tcW w:type="dxa" w:w="16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-0.0035</w:t>
            </w:r>
          </w:p>
        </w:tc>
        <w:tc>
          <w:tcPr>
            <w:tcW w:type="dxa" w:w="16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0.0060</w:t>
            </w:r>
          </w:p>
        </w:tc>
        <w:tc>
          <w:tcPr>
            <w:tcW w:type="dxa" w:w="16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-0.58</w:t>
            </w:r>
          </w:p>
        </w:tc>
        <w:tc>
          <w:tcPr>
            <w:tcW w:type="dxa" w:w="16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0.567</w:t>
            </w:r>
          </w:p>
        </w:tc>
      </w:tr>
    </w:tbl>
    <w:p>
      <w:pPr>
        <w:spacing w:after="40"/>
      </w:pPr>
    </w:p>
    <w:p>
      <w:pPr>
        <w:spacing w:after="80" w:line="252"/>
        <w:jc w:val="both"/>
      </w:pPr>
      <w:r>
        <w:rPr>
          <w:rFonts w:ascii="Calibri" w:cs="Calibri" w:eastAsia="Calibri" w:hAnsi="Calibri"/>
          <w:b/>
          <w:bCs/>
          <w:sz w:val="20"/>
          <w:szCs w:val="20"/>
        </w:rPr>
        <w:t xml:space="preserve">Regression.</w:t>
      </w:r>
      <w:r>
        <w:rPr>
          <w:rFonts w:ascii="Calibri" w:cs="Calibri" w:eastAsia="Calibri" w:hAnsi="Calibri"/>
          <w:sz w:val="20"/>
          <w:szCs w:val="20"/>
        </w:rPr>
        <w:t xml:space="preserve"> Asset turnover, operating margin and leverage together explain 61% of the variation in ROCE. Each 0.1x of extra asset turnover adds about 0.8 percentage points of ROCE; each percentage point of operating margin adds about 1.0 point; and each 0.1 of debt-equity </w:t>
      </w:r>
      <w:r>
        <w:rPr>
          <w:rFonts w:ascii="Calibri" w:cs="Calibri" w:eastAsia="Calibri" w:hAnsi="Calibri"/>
          <w:i/>
          <w:iCs/>
          <w:sz w:val="20"/>
          <w:szCs w:val="20"/>
        </w:rPr>
        <w:t xml:space="preserve">reduces</w:t>
      </w:r>
      <w:r>
        <w:rPr>
          <w:rFonts w:ascii="Calibri" w:cs="Calibri" w:eastAsia="Calibri" w:hAnsi="Calibri"/>
          <w:sz w:val="20"/>
          <w:szCs w:val="20"/>
        </w:rPr>
        <w:t xml:space="preserve"> ROCE by 0.44 points (all p &lt; 0.001). </w:t>
      </w:r>
      <w:r>
        <w:rPr>
          <w:rFonts w:ascii="Calibri" w:cs="Calibri" w:eastAsia="Calibri" w:hAnsi="Calibri"/>
          <w:b/>
          <w:bCs/>
          <w:sz w:val="20"/>
          <w:szCs w:val="20"/>
        </w:rPr>
        <w:t xml:space="preserve">Firm size (ln sales) is insignificant (p = 0.567)</w:t>
      </w:r>
      <w:r>
        <w:rPr>
          <w:rFonts w:ascii="Calibri" w:cs="Calibri" w:eastAsia="Calibri" w:hAnsi="Calibri"/>
          <w:sz w:val="20"/>
          <w:szCs w:val="20"/>
        </w:rPr>
        <w:t xml:space="preserve">: small firms are not disadvantaged, and returns come from operating choices, not scale.</w:t>
      </w:r>
    </w:p>
    <w:p>
      <w:pPr>
        <w:keepNext/>
        <w:spacing w:after="40" w:before="100"/>
      </w:pPr>
      <w:r>
        <w:rPr>
          <w:rFonts w:ascii="Calibri" w:cs="Calibri" w:eastAsia="Calibri" w:hAnsi="Calibri"/>
          <w:b/>
          <w:bCs/>
          <w:color w:val="1F3864"/>
          <w:sz w:val="16"/>
          <w:szCs w:val="16"/>
        </w:rPr>
        <w:t xml:space="preserve">Table 11: Hypothesis tests (9 firms; n.s. = not significant at 10%)</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2500"/>
        <w:gridCol w:w="1900"/>
        <w:gridCol w:w="1300"/>
        <w:gridCol w:w="1000"/>
        <w:gridCol w:w="1100"/>
      </w:tblGrid>
      <w:tr>
        <w:trPr>
          <w:cantSplit/>
          <w:tblHeader/>
        </w:trPr>
        <w:tc>
          <w:tcPr>
            <w:tcW w:type="dxa" w:w="2200"/>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Test</w:t>
            </w:r>
          </w:p>
        </w:tc>
        <w:tc>
          <w:tcPr>
            <w:tcW w:type="dxa" w:w="2500"/>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Variable</w:t>
            </w:r>
          </w:p>
        </w:tc>
        <w:tc>
          <w:tcPr>
            <w:tcW w:type="dxa" w:w="1900"/>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Means compared</w:t>
            </w:r>
          </w:p>
        </w:tc>
        <w:tc>
          <w:tcPr>
            <w:tcW w:type="dxa" w:w="1300"/>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Statistic</w:t>
            </w:r>
          </w:p>
        </w:tc>
        <w:tc>
          <w:tcPr>
            <w:tcW w:type="dxa" w:w="1000"/>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p-value</w:t>
            </w:r>
          </w:p>
        </w:tc>
        <w:tc>
          <w:tcPr>
            <w:tcW w:type="dxa" w:w="1100"/>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Significant at</w:t>
            </w:r>
          </w:p>
        </w:tc>
      </w:tr>
      <w:tr>
        <w:trPr>
          <w:cantSplit/>
        </w:trPr>
        <w:tc>
          <w:tcPr>
            <w:tcW w:type="dxa" w:w="22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Paired t: FY20 vs FY26</w:t>
            </w:r>
          </w:p>
        </w:tc>
        <w:tc>
          <w:tcPr>
            <w:tcW w:type="dxa" w:w="25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Net profit margin</w:t>
            </w:r>
          </w:p>
        </w:tc>
        <w:tc>
          <w:tcPr>
            <w:tcW w:type="dxa" w:w="19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1.4% to 4.1%</w:t>
            </w:r>
          </w:p>
        </w:tc>
        <w:tc>
          <w:tcPr>
            <w:tcW w:type="dxa" w:w="13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2.07</w:t>
            </w:r>
          </w:p>
        </w:tc>
        <w:tc>
          <w:tcPr>
            <w:tcW w:type="dxa" w:w="10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0.072</w:t>
            </w:r>
          </w:p>
        </w:tc>
        <w:tc>
          <w:tcPr>
            <w:tcW w:type="dxa" w:w="11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10%</w:t>
            </w:r>
          </w:p>
        </w:tc>
      </w:tr>
      <w:tr>
        <w:trPr>
          <w:cantSplit/>
        </w:trPr>
        <w:tc>
          <w:tcPr>
            <w:tcW w:type="dxa" w:w="22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Paired t: FY20 vs FY26</w:t>
            </w:r>
          </w:p>
        </w:tc>
        <w:tc>
          <w:tcPr>
            <w:tcW w:type="dxa" w:w="25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Interest coverage</w:t>
            </w:r>
          </w:p>
        </w:tc>
        <w:tc>
          <w:tcPr>
            <w:tcW w:type="dxa" w:w="19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3.49x to 10.42x</w:t>
            </w:r>
          </w:p>
        </w:tc>
        <w:tc>
          <w:tcPr>
            <w:tcW w:type="dxa" w:w="13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2.01</w:t>
            </w:r>
          </w:p>
        </w:tc>
        <w:tc>
          <w:tcPr>
            <w:tcW w:type="dxa" w:w="10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0.079</w:t>
            </w:r>
          </w:p>
        </w:tc>
        <w:tc>
          <w:tcPr>
            <w:tcW w:type="dxa" w:w="11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10%</w:t>
            </w:r>
          </w:p>
        </w:tc>
      </w:tr>
      <w:tr>
        <w:trPr>
          <w:cantSplit/>
        </w:trPr>
        <w:tc>
          <w:tcPr>
            <w:tcW w:type="dxa" w:w="22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Paired t: FY20 vs FY26</w:t>
            </w:r>
          </w:p>
        </w:tc>
        <w:tc>
          <w:tcPr>
            <w:tcW w:type="dxa" w:w="25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Debt-equity</w:t>
            </w:r>
          </w:p>
        </w:tc>
        <w:tc>
          <w:tcPr>
            <w:tcW w:type="dxa" w:w="19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0.86x to 0.52x</w:t>
            </w:r>
          </w:p>
        </w:tc>
        <w:tc>
          <w:tcPr>
            <w:tcW w:type="dxa" w:w="13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-1.91</w:t>
            </w:r>
          </w:p>
        </w:tc>
        <w:tc>
          <w:tcPr>
            <w:tcW w:type="dxa" w:w="10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0.092</w:t>
            </w:r>
          </w:p>
        </w:tc>
        <w:tc>
          <w:tcPr>
            <w:tcW w:type="dxa" w:w="11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10%</w:t>
            </w:r>
          </w:p>
        </w:tc>
      </w:tr>
      <w:tr>
        <w:trPr>
          <w:cantSplit/>
        </w:trPr>
        <w:tc>
          <w:tcPr>
            <w:tcW w:type="dxa" w:w="22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Paired t: FY20 vs FY26</w:t>
            </w:r>
          </w:p>
        </w:tc>
        <w:tc>
          <w:tcPr>
            <w:tcW w:type="dxa" w:w="25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ROCE</w:t>
            </w:r>
          </w:p>
        </w:tc>
        <w:tc>
          <w:tcPr>
            <w:tcW w:type="dxa" w:w="19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4.8% to 9.1%</w:t>
            </w:r>
          </w:p>
        </w:tc>
        <w:tc>
          <w:tcPr>
            <w:tcW w:type="dxa" w:w="13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1.41</w:t>
            </w:r>
          </w:p>
        </w:tc>
        <w:tc>
          <w:tcPr>
            <w:tcW w:type="dxa" w:w="10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0.197</w:t>
            </w:r>
          </w:p>
        </w:tc>
        <w:tc>
          <w:tcPr>
            <w:tcW w:type="dxa" w:w="11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n.s.</w:t>
            </w:r>
          </w:p>
        </w:tc>
      </w:tr>
      <w:tr>
        <w:trPr>
          <w:cantSplit/>
        </w:trPr>
        <w:tc>
          <w:tcPr>
            <w:tcW w:type="dxa" w:w="22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Paired t: FY20 vs FY26</w:t>
            </w:r>
          </w:p>
        </w:tc>
        <w:tc>
          <w:tcPr>
            <w:tcW w:type="dxa" w:w="25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Op. EBITDA margin</w:t>
            </w:r>
          </w:p>
        </w:tc>
        <w:tc>
          <w:tcPr>
            <w:tcW w:type="dxa" w:w="19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7.6% to 8.8%</w:t>
            </w:r>
          </w:p>
        </w:tc>
        <w:tc>
          <w:tcPr>
            <w:tcW w:type="dxa" w:w="13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0.90</w:t>
            </w:r>
          </w:p>
        </w:tc>
        <w:tc>
          <w:tcPr>
            <w:tcW w:type="dxa" w:w="10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0.394</w:t>
            </w:r>
          </w:p>
        </w:tc>
        <w:tc>
          <w:tcPr>
            <w:tcW w:type="dxa" w:w="11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n.s.</w:t>
            </w:r>
          </w:p>
        </w:tc>
      </w:tr>
      <w:tr>
        <w:trPr>
          <w:cantSplit/>
        </w:trPr>
        <w:tc>
          <w:tcPr>
            <w:tcW w:type="dxa" w:w="22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Paired t: FY20 vs FY26</w:t>
            </w:r>
          </w:p>
        </w:tc>
        <w:tc>
          <w:tcPr>
            <w:tcW w:type="dxa" w:w="25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Asset turnover</w:t>
            </w:r>
          </w:p>
        </w:tc>
        <w:tc>
          <w:tcPr>
            <w:tcW w:type="dxa" w:w="19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1.87x to 1.82x</w:t>
            </w:r>
          </w:p>
        </w:tc>
        <w:tc>
          <w:tcPr>
            <w:tcW w:type="dxa" w:w="13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-0.33</w:t>
            </w:r>
          </w:p>
        </w:tc>
        <w:tc>
          <w:tcPr>
            <w:tcW w:type="dxa" w:w="10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0.752</w:t>
            </w:r>
          </w:p>
        </w:tc>
        <w:tc>
          <w:tcPr>
            <w:tcW w:type="dxa" w:w="11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n.s.</w:t>
            </w:r>
          </w:p>
        </w:tc>
      </w:tr>
      <w:tr>
        <w:trPr>
          <w:cantSplit/>
        </w:trPr>
        <w:tc>
          <w:tcPr>
            <w:tcW w:type="dxa" w:w="22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Welch t: light vs heavy</w:t>
            </w:r>
          </w:p>
        </w:tc>
        <w:tc>
          <w:tcPr>
            <w:tcW w:type="dxa" w:w="25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Asset turnover</w:t>
            </w:r>
          </w:p>
        </w:tc>
        <w:tc>
          <w:tcPr>
            <w:tcW w:type="dxa" w:w="19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2.39x vs 1.35x</w:t>
            </w:r>
          </w:p>
        </w:tc>
        <w:tc>
          <w:tcPr>
            <w:tcW w:type="dxa" w:w="13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2.57</w:t>
            </w:r>
          </w:p>
        </w:tc>
        <w:tc>
          <w:tcPr>
            <w:tcW w:type="dxa" w:w="10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0.042</w:t>
            </w:r>
          </w:p>
        </w:tc>
        <w:tc>
          <w:tcPr>
            <w:tcW w:type="dxa" w:w="11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5%</w:t>
            </w:r>
          </w:p>
        </w:tc>
      </w:tr>
      <w:tr>
        <w:trPr>
          <w:cantSplit/>
        </w:trPr>
        <w:tc>
          <w:tcPr>
            <w:tcW w:type="dxa" w:w="22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Welch t: light vs heavy</w:t>
            </w:r>
          </w:p>
        </w:tc>
        <w:tc>
          <w:tcPr>
            <w:tcW w:type="dxa" w:w="25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Op. EBITDA margin</w:t>
            </w:r>
          </w:p>
        </w:tc>
        <w:tc>
          <w:tcPr>
            <w:tcW w:type="dxa" w:w="19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4.0% vs 14.4%</w:t>
            </w:r>
          </w:p>
        </w:tc>
        <w:tc>
          <w:tcPr>
            <w:tcW w:type="dxa" w:w="13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-3.01</w:t>
            </w:r>
          </w:p>
        </w:tc>
        <w:tc>
          <w:tcPr>
            <w:tcW w:type="dxa" w:w="10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0.057</w:t>
            </w:r>
          </w:p>
        </w:tc>
        <w:tc>
          <w:tcPr>
            <w:tcW w:type="dxa" w:w="11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10%</w:t>
            </w:r>
          </w:p>
        </w:tc>
      </w:tr>
      <w:tr>
        <w:trPr>
          <w:cantSplit/>
        </w:trPr>
        <w:tc>
          <w:tcPr>
            <w:tcW w:type="dxa" w:w="22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Welch t: light vs heavy</w:t>
            </w:r>
          </w:p>
        </w:tc>
        <w:tc>
          <w:tcPr>
            <w:tcW w:type="dxa" w:w="25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ROCE</w:t>
            </w:r>
          </w:p>
        </w:tc>
        <w:tc>
          <w:tcPr>
            <w:tcW w:type="dxa" w:w="19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8.2% vs 12.3%</w:t>
            </w:r>
          </w:p>
        </w:tc>
        <w:tc>
          <w:tcPr>
            <w:tcW w:type="dxa" w:w="13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-1.43</w:t>
            </w:r>
          </w:p>
        </w:tc>
        <w:tc>
          <w:tcPr>
            <w:tcW w:type="dxa" w:w="10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0.201</w:t>
            </w:r>
          </w:p>
        </w:tc>
        <w:tc>
          <w:tcPr>
            <w:tcW w:type="dxa" w:w="11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n.s.</w:t>
            </w:r>
          </w:p>
        </w:tc>
      </w:tr>
      <w:tr>
        <w:trPr>
          <w:cantSplit/>
        </w:trPr>
        <w:tc>
          <w:tcPr>
            <w:tcW w:type="dxa" w:w="22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Two-way ANOVA</w:t>
            </w:r>
          </w:p>
        </w:tc>
        <w:tc>
          <w:tcPr>
            <w:tcW w:type="dxa" w:w="25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Op. EBITDA margin: firm effect</w:t>
            </w:r>
          </w:p>
        </w:tc>
        <w:tc>
          <w:tcPr>
            <w:tcW w:type="dxa" w:w="19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w:t>
            </w:r>
          </w:p>
        </w:tc>
        <w:tc>
          <w:tcPr>
            <w:tcW w:type="dxa" w:w="13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F = 53.22</w:t>
            </w:r>
          </w:p>
        </w:tc>
        <w:tc>
          <w:tcPr>
            <w:tcW w:type="dxa" w:w="10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&lt;0.001</w:t>
            </w:r>
          </w:p>
        </w:tc>
        <w:tc>
          <w:tcPr>
            <w:tcW w:type="dxa" w:w="11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5%</w:t>
            </w:r>
          </w:p>
        </w:tc>
      </w:tr>
      <w:tr>
        <w:trPr>
          <w:cantSplit/>
        </w:trPr>
        <w:tc>
          <w:tcPr>
            <w:tcW w:type="dxa" w:w="22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Two-way ANOVA</w:t>
            </w:r>
          </w:p>
        </w:tc>
        <w:tc>
          <w:tcPr>
            <w:tcW w:type="dxa" w:w="25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Op. EBITDA margin: year effect</w:t>
            </w:r>
          </w:p>
        </w:tc>
        <w:tc>
          <w:tcPr>
            <w:tcW w:type="dxa" w:w="19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w:t>
            </w:r>
          </w:p>
        </w:tc>
        <w:tc>
          <w:tcPr>
            <w:tcW w:type="dxa" w:w="13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F = 1.65</w:t>
            </w:r>
          </w:p>
        </w:tc>
        <w:tc>
          <w:tcPr>
            <w:tcW w:type="dxa" w:w="10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0.154</w:t>
            </w:r>
          </w:p>
        </w:tc>
        <w:tc>
          <w:tcPr>
            <w:tcW w:type="dxa" w:w="11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n.s.</w:t>
            </w:r>
          </w:p>
        </w:tc>
      </w:tr>
      <w:tr>
        <w:trPr>
          <w:cantSplit/>
        </w:trPr>
        <w:tc>
          <w:tcPr>
            <w:tcW w:type="dxa" w:w="22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Two-way ANOVA</w:t>
            </w:r>
          </w:p>
        </w:tc>
        <w:tc>
          <w:tcPr>
            <w:tcW w:type="dxa" w:w="25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ROCE: firm effect</w:t>
            </w:r>
          </w:p>
        </w:tc>
        <w:tc>
          <w:tcPr>
            <w:tcW w:type="dxa" w:w="19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w:t>
            </w:r>
          </w:p>
        </w:tc>
        <w:tc>
          <w:tcPr>
            <w:tcW w:type="dxa" w:w="13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F = 2.41</w:t>
            </w:r>
          </w:p>
        </w:tc>
        <w:tc>
          <w:tcPr>
            <w:tcW w:type="dxa" w:w="10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0.028</w:t>
            </w:r>
          </w:p>
        </w:tc>
        <w:tc>
          <w:tcPr>
            <w:tcW w:type="dxa" w:w="11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5%</w:t>
            </w:r>
          </w:p>
        </w:tc>
      </w:tr>
      <w:tr>
        <w:trPr>
          <w:cantSplit/>
        </w:trPr>
        <w:tc>
          <w:tcPr>
            <w:tcW w:type="dxa" w:w="22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Two-way ANOVA</w:t>
            </w:r>
          </w:p>
        </w:tc>
        <w:tc>
          <w:tcPr>
            <w:tcW w:type="dxa" w:w="25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ROCE: year effect</w:t>
            </w:r>
          </w:p>
        </w:tc>
        <w:tc>
          <w:tcPr>
            <w:tcW w:type="dxa" w:w="19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w:t>
            </w:r>
          </w:p>
        </w:tc>
        <w:tc>
          <w:tcPr>
            <w:tcW w:type="dxa" w:w="13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F = 3.18</w:t>
            </w:r>
          </w:p>
        </w:tc>
        <w:tc>
          <w:tcPr>
            <w:tcW w:type="dxa" w:w="10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0.010</w:t>
            </w:r>
          </w:p>
        </w:tc>
        <w:tc>
          <w:tcPr>
            <w:tcW w:type="dxa" w:w="11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5%</w:t>
            </w:r>
          </w:p>
        </w:tc>
      </w:tr>
    </w:tbl>
    <w:p>
      <w:pPr>
        <w:spacing w:after="40"/>
      </w:pPr>
    </w:p>
    <w:p>
      <w:pPr>
        <w:spacing w:after="80" w:line="252"/>
        <w:jc w:val="both"/>
      </w:pPr>
      <w:r>
        <w:rPr>
          <w:rFonts w:ascii="Calibri" w:cs="Calibri" w:eastAsia="Calibri" w:hAnsi="Calibri"/>
          <w:b/>
          <w:bCs/>
          <w:sz w:val="20"/>
          <w:szCs w:val="20"/>
        </w:rPr>
        <w:t xml:space="preserve">Hypothesis tests.</w:t>
      </w:r>
      <w:r>
        <w:rPr>
          <w:rFonts w:ascii="Calibri" w:cs="Calibri" w:eastAsia="Calibri" w:hAnsi="Calibri"/>
          <w:sz w:val="20"/>
          <w:szCs w:val="20"/>
        </w:rPr>
        <w:t xml:space="preserve"> The paired t-tests show the typical firm improved its net margin, interest cover and gearing between FY20 and FY26, but only at the 10% level. Its operating margin, asset turnover and ROCE did not change significantly: the improvement is in </w:t>
      </w:r>
      <w:r>
        <w:rPr>
          <w:rFonts w:ascii="Calibri" w:cs="Calibri" w:eastAsia="Calibri" w:hAnsi="Calibri"/>
          <w:b/>
          <w:bCs/>
          <w:sz w:val="20"/>
          <w:szCs w:val="20"/>
        </w:rPr>
        <w:t xml:space="preserve">financial health, not operating structure</w:t>
      </w:r>
      <w:r>
        <w:rPr>
          <w:rFonts w:ascii="Calibri" w:cs="Calibri" w:eastAsia="Calibri" w:hAnsi="Calibri"/>
          <w:sz w:val="20"/>
          <w:szCs w:val="20"/>
        </w:rPr>
        <w:t xml:space="preserve">. The two-way ANOVA confirms this. Operating margins are overwhelmingly </w:t>
      </w:r>
      <w:r>
        <w:rPr>
          <w:rFonts w:ascii="Calibri" w:cs="Calibri" w:eastAsia="Calibri" w:hAnsi="Calibri"/>
          <w:b/>
          <w:bCs/>
          <w:sz w:val="20"/>
          <w:szCs w:val="20"/>
        </w:rPr>
        <w:t xml:space="preserve">firm-specific</w:t>
      </w:r>
      <w:r>
        <w:rPr>
          <w:rFonts w:ascii="Calibri" w:cs="Calibri" w:eastAsia="Calibri" w:hAnsi="Calibri"/>
          <w:sz w:val="20"/>
          <w:szCs w:val="20"/>
        </w:rPr>
        <w:t xml:space="preserve"> (F = 53.2, p &lt; 0.001) and do not vary by year (p = 0.154). ROCE, by contrast, has a significant </w:t>
      </w:r>
      <w:r>
        <w:rPr>
          <w:rFonts w:ascii="Calibri" w:cs="Calibri" w:eastAsia="Calibri" w:hAnsi="Calibri"/>
          <w:b/>
          <w:bCs/>
          <w:sz w:val="20"/>
          <w:szCs w:val="20"/>
        </w:rPr>
        <w:t xml:space="preserve">year effect</w:t>
      </w:r>
      <w:r>
        <w:rPr>
          <w:rFonts w:ascii="Calibri" w:cs="Calibri" w:eastAsia="Calibri" w:hAnsi="Calibri"/>
          <w:sz w:val="20"/>
          <w:szCs w:val="20"/>
        </w:rPr>
        <w:t xml:space="preserve"> (p = 0.010): returns moved with the freight cycle while margins stayed tied to each firm's model. Together with the Welch tests, the statistics support the core thesis that business model sets margin and turnover, while returns converge.</w:t>
      </w:r>
    </w:p>
    <w:p>
      <w:pPr>
        <w:pStyle w:val="Heading1"/>
        <w:keepNext/>
        <w:spacing w:after="60" w:before="160"/>
      </w:pPr>
      <w:r>
        <w:rPr>
          <w:rFonts w:ascii="Calibri" w:cs="Calibri" w:eastAsia="Calibri" w:hAnsi="Calibri"/>
          <w:b/>
          <w:bCs/>
          <w:color w:val="1F3864"/>
          <w:sz w:val="24"/>
          <w:szCs w:val="24"/>
        </w:rPr>
        <w:t xml:space="preserve">8. Conclusions and decisions</w:t>
      </w:r>
    </w:p>
    <w:p>
      <w:pPr>
        <w:keepNext/>
        <w:spacing w:after="40" w:before="100"/>
      </w:pPr>
      <w:r>
        <w:rPr>
          <w:rFonts w:ascii="Calibri" w:cs="Calibri" w:eastAsia="Calibri" w:hAnsi="Calibri"/>
          <w:b/>
          <w:bCs/>
          <w:color w:val="1F3864"/>
          <w:sz w:val="16"/>
          <w:szCs w:val="16"/>
        </w:rPr>
        <w:t xml:space="preserve">Table 12: Composite ranking (average rank on 10 normative ratios: current ratio, CFO/CL, debt-equity, interest cover, collection period, asset turnover, operating margin, net margin, ROCE, ROE)</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100"/>
        <w:gridCol w:w="1000"/>
        <w:gridCol w:w="1100"/>
        <w:gridCol w:w="1000"/>
        <w:gridCol w:w="4166"/>
      </w:tblGrid>
      <w:tr>
        <w:trPr>
          <w:cantSplit/>
          <w:tblHeader/>
        </w:trPr>
        <w:tc>
          <w:tcPr>
            <w:tcW w:type="dxa" w:w="1500"/>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Firm</w:t>
            </w:r>
          </w:p>
        </w:tc>
        <w:tc>
          <w:tcPr>
            <w:tcW w:type="dxa" w:w="1100"/>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Score 7-yr</w:t>
            </w:r>
          </w:p>
        </w:tc>
        <w:tc>
          <w:tcPr>
            <w:tcW w:type="dxa" w:w="1000"/>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Rank 7-yr</w:t>
            </w:r>
          </w:p>
        </w:tc>
        <w:tc>
          <w:tcPr>
            <w:tcW w:type="dxa" w:w="1100"/>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Score FY26</w:t>
            </w:r>
          </w:p>
        </w:tc>
        <w:tc>
          <w:tcPr>
            <w:tcW w:type="dxa" w:w="1000"/>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Rank FY26</w:t>
            </w:r>
          </w:p>
        </w:tc>
        <w:tc>
          <w:tcPr>
            <w:tcW w:type="dxa" w:w="4166"/>
            <w:tcBorders>
              <w:top w:val="single" w:color="BFBFBF" w:sz="4"/>
              <w:left w:val="single" w:color="BFBFBF" w:sz="4"/>
              <w:bottom w:val="single" w:color="BFBFBF" w:sz="4"/>
              <w:right w:val="single" w:color="BFBFBF" w:sz="4"/>
            </w:tcBorders>
            <w:shd w:fill="1F3864" w:color="auto" w:val="clear"/>
            <w:tcMar>
              <w:top w:type="dxa" w:w="30"/>
              <w:left w:type="dxa" w:w="50"/>
              <w:bottom w:type="dxa" w:w="30"/>
              <w:right w:type="dxa" w:w="50"/>
            </w:tcMar>
            <w:vAlign w:val="center"/>
          </w:tcPr>
          <w:p>
            <w:pPr>
              <w:spacing w:after="0" w:before="0" w:line="228"/>
              <w:jc w:val="center"/>
            </w:pPr>
            <w:r>
              <w:rPr>
                <w:rFonts w:ascii="Calibri" w:cs="Calibri" w:eastAsia="Calibri" w:hAnsi="Calibri"/>
                <w:b/>
                <w:bCs/>
                <w:color w:val="FFFFFF"/>
                <w:sz w:val="15"/>
                <w:szCs w:val="15"/>
              </w:rPr>
              <w:t xml:space="preserve">Our position</w:t>
            </w:r>
          </w:p>
        </w:tc>
      </w:tr>
      <w:tr>
        <w:trPr>
          <w:cantSplit/>
        </w:trPr>
        <w:tc>
          <w:tcPr>
            <w:tcW w:type="dxa" w:w="15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TCI</w:t>
            </w:r>
          </w:p>
        </w:tc>
        <w:tc>
          <w:tcPr>
            <w:tcW w:type="dxa" w:w="11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2.8</w:t>
            </w:r>
          </w:p>
        </w:tc>
        <w:tc>
          <w:tcPr>
            <w:tcW w:type="dxa" w:w="10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w:t>
            </w:r>
          </w:p>
        </w:tc>
        <w:tc>
          <w:tcPr>
            <w:tcW w:type="dxa" w:w="11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3.6</w:t>
            </w:r>
          </w:p>
        </w:tc>
        <w:tc>
          <w:tcPr>
            <w:tcW w:type="dxa" w:w="10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w:t>
            </w:r>
          </w:p>
        </w:tc>
        <w:tc>
          <w:tcPr>
            <w:tcW w:type="dxa" w:w="416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Invest / lend: best all-round</w:t>
            </w:r>
          </w:p>
        </w:tc>
      </w:tr>
      <w:tr>
        <w:trPr>
          <w:cantSplit/>
        </w:trPr>
        <w:tc>
          <w:tcPr>
            <w:tcW w:type="dxa" w:w="15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CONCOR</w:t>
            </w:r>
          </w:p>
        </w:tc>
        <w:tc>
          <w:tcPr>
            <w:tcW w:type="dxa" w:w="11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3.2</w:t>
            </w:r>
          </w:p>
        </w:tc>
        <w:tc>
          <w:tcPr>
            <w:tcW w:type="dxa" w:w="10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2</w:t>
            </w:r>
          </w:p>
        </w:tc>
        <w:tc>
          <w:tcPr>
            <w:tcW w:type="dxa" w:w="11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3.0</w:t>
            </w:r>
          </w:p>
        </w:tc>
        <w:tc>
          <w:tcPr>
            <w:tcW w:type="dxa" w:w="10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w:t>
            </w:r>
          </w:p>
        </w:tc>
        <w:tc>
          <w:tcPr>
            <w:tcW w:type="dxa" w:w="416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Hold for income; lend</w:t>
            </w:r>
          </w:p>
        </w:tc>
      </w:tr>
      <w:tr>
        <w:trPr>
          <w:cantSplit/>
        </w:trPr>
        <w:tc>
          <w:tcPr>
            <w:tcW w:type="dxa" w:w="15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Tiger</w:t>
            </w:r>
          </w:p>
        </w:tc>
        <w:tc>
          <w:tcPr>
            <w:tcW w:type="dxa" w:w="11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4.4</w:t>
            </w:r>
          </w:p>
        </w:tc>
        <w:tc>
          <w:tcPr>
            <w:tcW w:type="dxa" w:w="10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3</w:t>
            </w:r>
          </w:p>
        </w:tc>
        <w:tc>
          <w:tcPr>
            <w:tcW w:type="dxa" w:w="11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5.0</w:t>
            </w:r>
          </w:p>
        </w:tc>
        <w:tc>
          <w:tcPr>
            <w:tcW w:type="dxa" w:w="10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4</w:t>
            </w:r>
          </w:p>
        </w:tc>
        <w:tc>
          <w:tcPr>
            <w:tcW w:type="dxa" w:w="416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Value; watch receivables &amp; CFO</w:t>
            </w:r>
          </w:p>
        </w:tc>
      </w:tr>
      <w:tr>
        <w:trPr>
          <w:cantSplit/>
        </w:trPr>
        <w:tc>
          <w:tcPr>
            <w:tcW w:type="dxa" w:w="15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Blue Dart</w:t>
            </w:r>
          </w:p>
        </w:tc>
        <w:tc>
          <w:tcPr>
            <w:tcW w:type="dxa" w:w="11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4.5</w:t>
            </w:r>
          </w:p>
        </w:tc>
        <w:tc>
          <w:tcPr>
            <w:tcW w:type="dxa" w:w="10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4</w:t>
            </w:r>
          </w:p>
        </w:tc>
        <w:tc>
          <w:tcPr>
            <w:tcW w:type="dxa" w:w="11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4.6</w:t>
            </w:r>
          </w:p>
        </w:tc>
        <w:tc>
          <w:tcPr>
            <w:tcW w:type="dxa" w:w="10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3</w:t>
            </w:r>
          </w:p>
        </w:tc>
        <w:tc>
          <w:tcPr>
            <w:tcW w:type="dxa" w:w="416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Quality; fully priced</w:t>
            </w:r>
          </w:p>
        </w:tc>
      </w:tr>
      <w:tr>
        <w:trPr>
          <w:cantSplit/>
        </w:trPr>
        <w:tc>
          <w:tcPr>
            <w:tcW w:type="dxa" w:w="15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Shreeji</w:t>
            </w:r>
          </w:p>
        </w:tc>
        <w:tc>
          <w:tcPr>
            <w:tcW w:type="dxa" w:w="11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4.9</w:t>
            </w:r>
          </w:p>
        </w:tc>
        <w:tc>
          <w:tcPr>
            <w:tcW w:type="dxa" w:w="10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5</w:t>
            </w:r>
          </w:p>
        </w:tc>
        <w:tc>
          <w:tcPr>
            <w:tcW w:type="dxa" w:w="11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7.1</w:t>
            </w:r>
          </w:p>
        </w:tc>
        <w:tc>
          <w:tcPr>
            <w:tcW w:type="dxa" w:w="10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9</w:t>
            </w:r>
          </w:p>
        </w:tc>
        <w:tc>
          <w:tcPr>
            <w:tcW w:type="dxa" w:w="416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Avoid until margins recover</w:t>
            </w:r>
          </w:p>
        </w:tc>
      </w:tr>
      <w:tr>
        <w:trPr>
          <w:cantSplit/>
        </w:trPr>
        <w:tc>
          <w:tcPr>
            <w:tcW w:type="dxa" w:w="15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Allcargo</w:t>
            </w:r>
          </w:p>
        </w:tc>
        <w:tc>
          <w:tcPr>
            <w:tcW w:type="dxa" w:w="11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5.5</w:t>
            </w:r>
          </w:p>
        </w:tc>
        <w:tc>
          <w:tcPr>
            <w:tcW w:type="dxa" w:w="10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6</w:t>
            </w:r>
          </w:p>
        </w:tc>
        <w:tc>
          <w:tcPr>
            <w:tcW w:type="dxa" w:w="11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7.4</w:t>
            </w:r>
          </w:p>
        </w:tc>
        <w:tc>
          <w:tcPr>
            <w:tcW w:type="dxa" w:w="10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10</w:t>
            </w:r>
          </w:p>
        </w:tc>
        <w:tc>
          <w:tcPr>
            <w:tcW w:type="dxa" w:w="416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Avoid; lend with caution</w:t>
            </w:r>
          </w:p>
        </w:tc>
      </w:tr>
      <w:tr>
        <w:trPr>
          <w:cantSplit/>
        </w:trPr>
        <w:tc>
          <w:tcPr>
            <w:tcW w:type="dxa" w:w="15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Patel</w:t>
            </w:r>
          </w:p>
        </w:tc>
        <w:tc>
          <w:tcPr>
            <w:tcW w:type="dxa" w:w="11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6.3</w:t>
            </w:r>
          </w:p>
        </w:tc>
        <w:tc>
          <w:tcPr>
            <w:tcW w:type="dxa" w:w="10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7</w:t>
            </w:r>
          </w:p>
        </w:tc>
        <w:tc>
          <w:tcPr>
            <w:tcW w:type="dxa" w:w="11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5.2</w:t>
            </w:r>
          </w:p>
        </w:tc>
        <w:tc>
          <w:tcPr>
            <w:tcW w:type="dxa" w:w="10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5</w:t>
            </w:r>
          </w:p>
        </w:tc>
        <w:tc>
          <w:tcPr>
            <w:tcW w:type="dxa" w:w="416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Deep value; lend</w:t>
            </w:r>
          </w:p>
        </w:tc>
      </w:tr>
      <w:tr>
        <w:trPr>
          <w:cantSplit/>
        </w:trPr>
        <w:tc>
          <w:tcPr>
            <w:tcW w:type="dxa" w:w="15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Mahindra Log.</w:t>
            </w:r>
          </w:p>
        </w:tc>
        <w:tc>
          <w:tcPr>
            <w:tcW w:type="dxa" w:w="11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6.3</w:t>
            </w:r>
          </w:p>
        </w:tc>
        <w:tc>
          <w:tcPr>
            <w:tcW w:type="dxa" w:w="10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7</w:t>
            </w:r>
          </w:p>
        </w:tc>
        <w:tc>
          <w:tcPr>
            <w:tcW w:type="dxa" w:w="11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6.8</w:t>
            </w:r>
          </w:p>
        </w:tc>
        <w:tc>
          <w:tcPr>
            <w:tcW w:type="dxa" w:w="10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8</w:t>
            </w:r>
          </w:p>
        </w:tc>
        <w:tc>
          <w:tcPr>
            <w:tcW w:type="dxa" w:w="416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Turnaround watch</w:t>
            </w:r>
          </w:p>
        </w:tc>
      </w:tr>
      <w:tr>
        <w:trPr>
          <w:cantSplit/>
        </w:trPr>
        <w:tc>
          <w:tcPr>
            <w:tcW w:type="dxa" w:w="15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Jet Freight</w:t>
            </w:r>
          </w:p>
        </w:tc>
        <w:tc>
          <w:tcPr>
            <w:tcW w:type="dxa" w:w="11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7.6</w:t>
            </w:r>
          </w:p>
        </w:tc>
        <w:tc>
          <w:tcPr>
            <w:tcW w:type="dxa" w:w="10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9</w:t>
            </w:r>
          </w:p>
        </w:tc>
        <w:tc>
          <w:tcPr>
            <w:tcW w:type="dxa" w:w="11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6.4</w:t>
            </w:r>
          </w:p>
        </w:tc>
        <w:tc>
          <w:tcPr>
            <w:tcW w:type="dxa" w:w="1000"/>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7</w:t>
            </w:r>
          </w:p>
        </w:tc>
        <w:tc>
          <w:tcPr>
            <w:tcW w:type="dxa" w:w="4166"/>
            <w:tcBorders>
              <w:top w:val="single" w:color="BFBFBF" w:sz="4"/>
              <w:left w:val="single" w:color="BFBFBF" w:sz="4"/>
              <w:bottom w:val="single" w:color="BFBFBF" w:sz="4"/>
              <w:right w:val="single" w:color="BFBFBF" w:sz="4"/>
            </w:tcBorders>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Speculative; high debt/EBITDA</w:t>
            </w:r>
          </w:p>
        </w:tc>
      </w:tr>
      <w:tr>
        <w:trPr>
          <w:cantSplit/>
        </w:trPr>
        <w:tc>
          <w:tcPr>
            <w:tcW w:type="dxa" w:w="15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Sical</w:t>
            </w:r>
          </w:p>
        </w:tc>
        <w:tc>
          <w:tcPr>
            <w:tcW w:type="dxa" w:w="11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9.5</w:t>
            </w:r>
          </w:p>
        </w:tc>
        <w:tc>
          <w:tcPr>
            <w:tcW w:type="dxa" w:w="10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10</w:t>
            </w:r>
          </w:p>
        </w:tc>
        <w:tc>
          <w:tcPr>
            <w:tcW w:type="dxa" w:w="11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5.9</w:t>
            </w:r>
          </w:p>
        </w:tc>
        <w:tc>
          <w:tcPr>
            <w:tcW w:type="dxa" w:w="1000"/>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center"/>
            </w:pPr>
            <w:r>
              <w:rPr>
                <w:rFonts w:ascii="Calibri" w:cs="Calibri" w:eastAsia="Calibri" w:hAnsi="Calibri"/>
                <w:b w:val="false"/>
                <w:bCs w:val="false"/>
                <w:color w:val="000000"/>
                <w:sz w:val="15"/>
                <w:szCs w:val="15"/>
              </w:rPr>
              <w:t xml:space="preserve">6</w:t>
            </w:r>
          </w:p>
        </w:tc>
        <w:tc>
          <w:tcPr>
            <w:tcW w:type="dxa" w:w="4166"/>
            <w:tcBorders>
              <w:top w:val="single" w:color="BFBFBF" w:sz="4"/>
              <w:left w:val="single" w:color="BFBFBF" w:sz="4"/>
              <w:bottom w:val="single" w:color="BFBFBF" w:sz="4"/>
              <w:right w:val="single" w:color="BFBFBF" w:sz="4"/>
            </w:tcBorders>
            <w:shd w:fill="F7F7F7" w:color="auto" w:val="clear"/>
            <w:tcMar>
              <w:top w:type="dxa" w:w="15"/>
              <w:left w:type="dxa" w:w="50"/>
              <w:bottom w:type="dxa" w:w="15"/>
              <w:right w:type="dxa" w:w="50"/>
            </w:tcMar>
            <w:vAlign w:val="center"/>
          </w:tcPr>
          <w:p>
            <w:pPr>
              <w:spacing w:after="0" w:before="0" w:line="228"/>
              <w:jc w:val="left"/>
            </w:pPr>
            <w:r>
              <w:rPr>
                <w:rFonts w:ascii="Calibri" w:cs="Calibri" w:eastAsia="Calibri" w:hAnsi="Calibri"/>
                <w:b w:val="false"/>
                <w:bCs w:val="false"/>
                <w:color w:val="000000"/>
                <w:sz w:val="15"/>
                <w:szCs w:val="15"/>
              </w:rPr>
              <w:t xml:space="preserve">Avoid; secured lending only</w:t>
            </w:r>
          </w:p>
        </w:tc>
      </w:tr>
    </w:tbl>
    <w:p>
      <w:pPr>
        <w:spacing w:after="40"/>
      </w:pPr>
    </w:p>
    <w:p>
      <w:pPr>
        <w:pStyle w:val="ListParagraph"/>
        <w:numPr>
          <w:ilvl w:val="0"/>
          <w:numId w:val="2"/>
        </w:numPr>
        <w:spacing w:after="40" w:line="252"/>
        <w:jc w:val="both"/>
      </w:pPr>
      <w:r>
        <w:rPr>
          <w:rFonts w:ascii="Calibri" w:cs="Calibri" w:eastAsia="Calibri" w:hAnsi="Calibri"/>
          <w:b/>
          <w:bCs/>
          <w:sz w:val="20"/>
          <w:szCs w:val="20"/>
        </w:rPr>
        <w:t xml:space="preserve">Equity investor:</w:t>
      </w:r>
      <w:r>
        <w:rPr>
          <w:rFonts w:ascii="Calibri" w:cs="Calibri" w:eastAsia="Calibri" w:hAnsi="Calibri"/>
          <w:sz w:val="20"/>
          <w:szCs w:val="20"/>
        </w:rPr>
        <w:t xml:space="preserve"> </w:t>
      </w:r>
      <w:r>
        <w:rPr>
          <w:rFonts w:ascii="Calibri" w:cs="Calibri" w:eastAsia="Calibri" w:hAnsi="Calibri"/>
          <w:b/>
          <w:bCs/>
          <w:sz w:val="20"/>
          <w:szCs w:val="20"/>
        </w:rPr>
        <w:t xml:space="preserve">TCI</w:t>
      </w:r>
      <w:r>
        <w:rPr>
          <w:rFonts w:ascii="Calibri" w:cs="Calibri" w:eastAsia="Calibri" w:hAnsi="Calibri"/>
          <w:sz w:val="20"/>
          <w:szCs w:val="20"/>
        </w:rPr>
        <w:t xml:space="preserve"> is the best risk-adjusted holding in this universe: 7-year rank 1, ROCE 18.2%, debt-equity 0.12x, self-funded growth, at a P/E (15.52x) well below the industry's 27.38x. </w:t>
      </w:r>
      <w:r>
        <w:rPr>
          <w:rFonts w:ascii="Calibri" w:cs="Calibri" w:eastAsia="Calibri" w:hAnsi="Calibri"/>
          <w:b/>
          <w:bCs/>
          <w:sz w:val="20"/>
          <w:szCs w:val="20"/>
        </w:rPr>
        <w:t xml:space="preserve">CONCOR</w:t>
      </w:r>
      <w:r>
        <w:rPr>
          <w:rFonts w:ascii="Calibri" w:cs="Calibri" w:eastAsia="Calibri" w:hAnsi="Calibri"/>
          <w:sz w:val="20"/>
          <w:szCs w:val="20"/>
        </w:rPr>
        <w:t xml:space="preserve"> suits income investors (payout 52.7%, net cash), but its 9.6% ROCE limits upside. </w:t>
      </w:r>
      <w:r>
        <w:rPr>
          <w:rFonts w:ascii="Calibri" w:cs="Calibri" w:eastAsia="Calibri" w:hAnsi="Calibri"/>
          <w:b/>
          <w:bCs/>
          <w:sz w:val="20"/>
          <w:szCs w:val="20"/>
        </w:rPr>
        <w:t xml:space="preserve">Blue Dart</w:t>
      </w:r>
      <w:r>
        <w:rPr>
          <w:rFonts w:ascii="Calibri" w:cs="Calibri" w:eastAsia="Calibri" w:hAnsi="Calibri"/>
          <w:sz w:val="20"/>
          <w:szCs w:val="20"/>
        </w:rPr>
        <w:t xml:space="preserve"> is a quality franchise, but its 45.48x P/E already prices that in while its ROE has fallen from 52.2% (FY22) to 14.8%. </w:t>
      </w:r>
      <w:r>
        <w:rPr>
          <w:rFonts w:ascii="Calibri" w:cs="Calibri" w:eastAsia="Calibri" w:hAnsi="Calibri"/>
          <w:b/>
          <w:bCs/>
          <w:sz w:val="20"/>
          <w:szCs w:val="20"/>
        </w:rPr>
        <w:t xml:space="preserve">Patel</w:t>
      </w:r>
      <w:r>
        <w:rPr>
          <w:rFonts w:ascii="Calibri" w:cs="Calibri" w:eastAsia="Calibri" w:hAnsi="Calibri"/>
          <w:sz w:val="20"/>
          <w:szCs w:val="20"/>
        </w:rPr>
        <w:t xml:space="preserve"> (P/B 0.47x, almost debt-free) and </w:t>
      </w:r>
      <w:r>
        <w:rPr>
          <w:rFonts w:ascii="Calibri" w:cs="Calibri" w:eastAsia="Calibri" w:hAnsi="Calibri"/>
          <w:b/>
          <w:bCs/>
          <w:sz w:val="20"/>
          <w:szCs w:val="20"/>
        </w:rPr>
        <w:t xml:space="preserve">Tiger</w:t>
      </w:r>
      <w:r>
        <w:rPr>
          <w:rFonts w:ascii="Calibri" w:cs="Calibri" w:eastAsia="Calibri" w:hAnsi="Calibri"/>
          <w:sz w:val="20"/>
          <w:szCs w:val="20"/>
        </w:rPr>
        <w:t xml:space="preserve"> (ROE 14.4%, P/E 11.74x) are value candidates, but Tiger first needs to convert receivables into cash.</w:t>
      </w:r>
    </w:p>
    <w:p>
      <w:pPr>
        <w:pStyle w:val="ListParagraph"/>
        <w:numPr>
          <w:ilvl w:val="0"/>
          <w:numId w:val="2"/>
        </w:numPr>
        <w:spacing w:after="40" w:line="252"/>
        <w:jc w:val="both"/>
      </w:pPr>
      <w:r>
        <w:rPr>
          <w:rFonts w:ascii="Calibri" w:cs="Calibri" w:eastAsia="Calibri" w:hAnsi="Calibri"/>
          <w:b/>
          <w:bCs/>
          <w:sz w:val="20"/>
          <w:szCs w:val="20"/>
        </w:rPr>
        <w:t xml:space="preserve">Lender:</w:t>
      </w:r>
      <w:r>
        <w:rPr>
          <w:rFonts w:ascii="Calibri" w:cs="Calibri" w:eastAsia="Calibri" w:hAnsi="Calibri"/>
          <w:sz w:val="20"/>
          <w:szCs w:val="20"/>
        </w:rPr>
        <w:t xml:space="preserve"> comfortable with CONCOR, TCI, Patel and Blue Dart (interest cover above 4x). Cautious on </w:t>
      </w:r>
      <w:r>
        <w:rPr>
          <w:rFonts w:ascii="Calibri" w:cs="Calibri" w:eastAsia="Calibri" w:hAnsi="Calibri"/>
          <w:b/>
          <w:bCs/>
          <w:sz w:val="20"/>
          <w:szCs w:val="20"/>
        </w:rPr>
        <w:t xml:space="preserve">Allcargo</w:t>
      </w:r>
      <w:r>
        <w:rPr>
          <w:rFonts w:ascii="Calibri" w:cs="Calibri" w:eastAsia="Calibri" w:hAnsi="Calibri"/>
          <w:sz w:val="20"/>
          <w:szCs w:val="20"/>
        </w:rPr>
        <w:t xml:space="preserve"> (cover 1.06x), </w:t>
      </w:r>
      <w:r>
        <w:rPr>
          <w:rFonts w:ascii="Calibri" w:cs="Calibri" w:eastAsia="Calibri" w:hAnsi="Calibri"/>
          <w:b/>
          <w:bCs/>
          <w:sz w:val="20"/>
          <w:szCs w:val="20"/>
        </w:rPr>
        <w:t xml:space="preserve">Mahindra Logistics</w:t>
      </w:r>
      <w:r>
        <w:rPr>
          <w:rFonts w:ascii="Calibri" w:cs="Calibri" w:eastAsia="Calibri" w:hAnsi="Calibri"/>
          <w:sz w:val="20"/>
          <w:szCs w:val="20"/>
        </w:rPr>
        <w:t xml:space="preserve"> (cover 1.44x, DSCR 1.21x, although the rights issue has repaired gearing), </w:t>
      </w:r>
      <w:r>
        <w:rPr>
          <w:rFonts w:ascii="Calibri" w:cs="Calibri" w:eastAsia="Calibri" w:hAnsi="Calibri"/>
          <w:b/>
          <w:bCs/>
          <w:sz w:val="20"/>
          <w:szCs w:val="20"/>
        </w:rPr>
        <w:t xml:space="preserve">Shreeji</w:t>
      </w:r>
      <w:r>
        <w:rPr>
          <w:rFonts w:ascii="Calibri" w:cs="Calibri" w:eastAsia="Calibri" w:hAnsi="Calibri"/>
          <w:sz w:val="20"/>
          <w:szCs w:val="20"/>
        </w:rPr>
        <w:t xml:space="preserve"> and </w:t>
      </w:r>
      <w:r>
        <w:rPr>
          <w:rFonts w:ascii="Calibri" w:cs="Calibri" w:eastAsia="Calibri" w:hAnsi="Calibri"/>
          <w:b/>
          <w:bCs/>
          <w:sz w:val="20"/>
          <w:szCs w:val="20"/>
        </w:rPr>
        <w:t xml:space="preserve">Jet Freight</w:t>
      </w:r>
      <w:r>
        <w:rPr>
          <w:rFonts w:ascii="Calibri" w:cs="Calibri" w:eastAsia="Calibri" w:hAnsi="Calibri"/>
          <w:sz w:val="20"/>
          <w:szCs w:val="20"/>
        </w:rPr>
        <w:t xml:space="preserve"> (Debt/EBITDA above 3.4x). Secured, covenant-based lending only for </w:t>
      </w:r>
      <w:r>
        <w:rPr>
          <w:rFonts w:ascii="Calibri" w:cs="Calibri" w:eastAsia="Calibri" w:hAnsi="Calibri"/>
          <w:b/>
          <w:bCs/>
          <w:sz w:val="20"/>
          <w:szCs w:val="20"/>
        </w:rPr>
        <w:t xml:space="preserve">Sical</w:t>
      </w:r>
      <w:r>
        <w:rPr>
          <w:rFonts w:ascii="Calibri" w:cs="Calibri" w:eastAsia="Calibri" w:hAnsi="Calibri"/>
          <w:sz w:val="20"/>
          <w:szCs w:val="20"/>
        </w:rPr>
        <w:t xml:space="preserve"> (debt-equity 3.69x, DSCR 0.84x).</w:t>
      </w:r>
    </w:p>
    <w:p>
      <w:pPr>
        <w:pStyle w:val="ListParagraph"/>
        <w:numPr>
          <w:ilvl w:val="0"/>
          <w:numId w:val="2"/>
        </w:numPr>
        <w:spacing w:after="40" w:line="252"/>
        <w:jc w:val="both"/>
      </w:pPr>
      <w:r>
        <w:rPr>
          <w:rFonts w:ascii="Calibri" w:cs="Calibri" w:eastAsia="Calibri" w:hAnsi="Calibri"/>
          <w:b/>
          <w:bCs/>
          <w:sz w:val="20"/>
          <w:szCs w:val="20"/>
        </w:rPr>
        <w:t xml:space="preserve">Managers:</w:t>
      </w:r>
      <w:r>
        <w:rPr>
          <w:rFonts w:ascii="Calibri" w:cs="Calibri" w:eastAsia="Calibri" w:hAnsi="Calibri"/>
          <w:sz w:val="20"/>
          <w:szCs w:val="20"/>
        </w:rPr>
        <w:t xml:space="preserve"> asset-light firms earn their return through turnover, so the 72-106 day collection periods at Tiger, Jet Freight, Patel and Shreeji are their biggest value lever. Asset-heavy firms must raise asset utilisation, because their margins are already the industry's highest. Mahindra Logistics and Allcargo must restore operating margins before leverage becomes an advantage again.</w:t>
      </w:r>
    </w:p>
    <w:p>
      <w:pPr>
        <w:pStyle w:val="Heading1"/>
        <w:keepNext/>
        <w:spacing w:after="60" w:before="160"/>
      </w:pPr>
      <w:r>
        <w:rPr>
          <w:rFonts w:ascii="Calibri" w:cs="Calibri" w:eastAsia="Calibri" w:hAnsi="Calibri"/>
          <w:b/>
          <w:bCs/>
          <w:color w:val="1F3864"/>
          <w:sz w:val="24"/>
          <w:szCs w:val="24"/>
        </w:rPr>
        <w:t xml:space="preserve">9. Limitations</w:t>
      </w:r>
    </w:p>
    <w:p>
      <w:pPr>
        <w:spacing w:after="80" w:line="252"/>
        <w:jc w:val="both"/>
      </w:pPr>
      <w:r>
        <w:rPr>
          <w:rFonts w:ascii="Calibri" w:cs="Calibri" w:eastAsia="Calibri" w:hAnsi="Calibri"/>
          <w:sz w:val="20"/>
          <w:szCs w:val="20"/>
        </w:rPr>
        <w:t xml:space="preserve">The condensed data format forces proxies for current assets and liabilities, creditors and loan repayments, so creditor days, the cash-conversion cycle and fixed-charge coverage are indicative. Allcargo's FY25-FY26 figures are on a post-restructuring perimeter, and Sical's returns are distorted by its near-zero equity. The size-weighted aggregate is dominated by a few large firms, which is why we report the median alongside it. Valuation uses one price per year (March). With only nine or ten firms, the statistical tests have limited power, and ratios are historical, not forecasts.</w:t>
      </w:r>
    </w:p>
    <w:p>
      <w:pPr>
        <w:pStyle w:val="Heading1"/>
        <w:keepNext/>
        <w:spacing w:after="60" w:before="160"/>
      </w:pPr>
      <w:r>
        <w:rPr>
          <w:rFonts w:ascii="Calibri" w:cs="Calibri" w:eastAsia="Calibri" w:hAnsi="Calibri"/>
          <w:b/>
          <w:bCs/>
          <w:color w:val="1F3864"/>
          <w:sz w:val="24"/>
          <w:szCs w:val="24"/>
        </w:rPr>
        <w:t xml:space="preserve">References and AI-use disclosure</w:t>
      </w:r>
    </w:p>
    <w:p>
      <w:pPr>
        <w:spacing w:after="80" w:line="252"/>
        <w:jc w:val="both"/>
      </w:pPr>
      <w:r>
        <w:rPr>
          <w:rFonts w:ascii="Calibri" w:cs="Calibri" w:eastAsia="Calibri" w:hAnsi="Calibri"/>
          <w:sz w:val="20"/>
          <w:szCs w:val="20"/>
        </w:rPr>
        <w:t xml:space="preserve">Primary data: annual reports FY2018-19 to FY2025-26 of the ten companies, as compiled in the Screener.in data export (accessed October 2026). The full company-by-year list with links is in the companion </w:t>
      </w:r>
      <w:r>
        <w:rPr>
          <w:rFonts w:ascii="Calibri" w:cs="Calibri" w:eastAsia="Calibri" w:hAnsi="Calibri"/>
          <w:i/>
          <w:iCs/>
          <w:sz w:val="20"/>
          <w:szCs w:val="20"/>
        </w:rPr>
        <w:t xml:space="preserve">Bibliography</w:t>
      </w:r>
      <w:r>
        <w:rPr>
          <w:rFonts w:ascii="Calibri" w:cs="Calibri" w:eastAsia="Calibri" w:hAnsi="Calibri"/>
          <w:sz w:val="20"/>
          <w:szCs w:val="20"/>
        </w:rPr>
        <w:t xml:space="preserve"> file. Context for corporate events: NCLT Chennai order of 8 December 2022 approving the Sical Logistics resolution plan (Insolvency Tracker, 17 December 2022); the Allcargo Logistics composite scheme and demerger (Indian Transport &amp; Logistics News, 2025); and the Mahindra Logistics Rs 750 crore rights issue (Business Standard, 11 July 2025). Ratio formulas follow the course formula sheet (Khan &amp; Jain; Prasanna Chandra). </w:t>
      </w:r>
      <w:r>
        <w:rPr>
          <w:rFonts w:ascii="Calibri" w:cs="Calibri" w:eastAsia="Calibri" w:hAnsi="Calibri"/>
          <w:b/>
          <w:bCs/>
          <w:sz w:val="20"/>
          <w:szCs w:val="20"/>
        </w:rPr>
        <w:t xml:space="preserve">AI use:</w:t>
      </w:r>
      <w:r>
        <w:rPr>
          <w:rFonts w:ascii="Calibri" w:cs="Calibri" w:eastAsia="Calibri" w:hAnsi="Calibri"/>
          <w:sz w:val="20"/>
          <w:szCs w:val="20"/>
        </w:rPr>
        <w:t xml:space="preserve"> Claude (Anthropic) was used to build the Excel formula model, run the statistics and draft this report from the group's data. All figures were generated by formulas from the source data and cross-checked by an independent recomputation. The group reviewed and is responsible for the analysis and conclusions.</w:t>
      </w:r>
    </w:p>
    <w:sectPr>
      <w:headerReference w:type="default" r:id="rId7"/>
      <w:footerReference w:type="default" r:id="rId8"/>
      <w:pgSz w:w="11906" w:h="16838" w:orient="portrait"/>
      <w:pgMar w:top="850" w:right="1020" w:bottom="850" w:left="1020" w:header="4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4"/>
        <w:szCs w:val="14"/>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4"/>
        <w:szCs w:val="14"/>
      </w:rPr>
      <w:t xml:space="preserve">Decision Making Using Financial Statements | Indian logistics industry, FY2020-FY2026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ba4e6674e92da7db159911398f9c47d4bb82dc7.png"/><Relationship Id="rId10" Type="http://schemas.openxmlformats.org/officeDocument/2006/relationships/image" Target="media/8d4d60a3b6814746880bf23bbecf9ac3ecb3b74b.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Decision Making Using Financial Statements - Logistics industry analysis</dc:title>
  <dc:creator>Group project</dc:creator>
  <cp:lastModifiedBy>Un-named</cp:lastModifiedBy>
  <cp:revision>1</cp:revision>
  <dcterms:created xsi:type="dcterms:W3CDTF">2026-10-22T13:00:13.929Z</dcterms:created>
  <dcterms:modified xsi:type="dcterms:W3CDTF">2026-10-22T13:00:13.929Z</dcterms:modified>
</cp:coreProperties>
</file>

<file path=docProps/custom.xml><?xml version="1.0" encoding="utf-8"?>
<Properties xmlns="http://schemas.openxmlformats.org/officeDocument/2006/custom-properties" xmlns:vt="http://schemas.openxmlformats.org/officeDocument/2006/docPropsVTypes"/>
</file>