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F612F">
      <w:pPr>
        <w:pStyle w:val="2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eastAsia="等线 Light" w:cs="等线 Light" w:asciiTheme="minorAscii" w:hAnsiTheme="minorAscii"/>
        </w:rPr>
      </w:pPr>
      <w:r>
        <w:rPr>
          <w:rFonts w:hint="default" w:eastAsia="等线 Light" w:cs="等线 Light" w:asciiTheme="minorAscii" w:hAnsiTheme="minorAscii"/>
        </w:rPr>
        <w:t>Summary</w:t>
      </w:r>
      <w:bookmarkStart w:id="0" w:name="_GoBack"/>
      <w:bookmarkEnd w:id="0"/>
    </w:p>
    <w:p w14:paraId="79354887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eastAsia="等线 Light" w:cs="等线 Light" w:asciiTheme="minorAscii" w:hAnsiTheme="minorAscii"/>
        </w:rPr>
      </w:pPr>
      <w:r>
        <w:rPr>
          <w:rFonts w:hint="default" w:eastAsia="等线 Light" w:cs="等线 Light" w:asciiTheme="minorAscii" w:hAnsiTheme="minorAscii"/>
          <w:b/>
          <w:bCs/>
        </w:rPr>
        <w:t>Against the backdrop of</w:t>
      </w:r>
      <w:r>
        <w:rPr>
          <w:rFonts w:hint="default" w:eastAsia="等线 Light" w:cs="等线 Light" w:asciiTheme="minorAscii" w:hAnsiTheme="minorAscii"/>
        </w:rPr>
        <w:t xml:space="preserve"> smartphone ubiquity, the unpredictability of battery depletion remains a critical challenge driven by stochastic user behaviors and complex environmental interactions. To accurately predict the state of charge (SOC) evolution and time-to-empty (TTE) under realistic conditions, we develop a </w:t>
      </w:r>
      <w:r>
        <w:rPr>
          <w:rFonts w:hint="default" w:eastAsia="等线 Light" w:cs="等线 Light" w:asciiTheme="minorAscii" w:hAnsiTheme="minorAscii"/>
          <w:b/>
          <w:bCs/>
        </w:rPr>
        <w:t>Physically-Informed Coupled Electrochemical Framework</w:t>
      </w:r>
      <w:r>
        <w:rPr>
          <w:rFonts w:hint="default" w:eastAsia="等线 Light" w:cs="等线 Light" w:asciiTheme="minorAscii" w:hAnsiTheme="minorAscii"/>
        </w:rPr>
        <w:t>. This continuous-time system integrates electrochemical dynamics with behavior-driven loads to quantify the diverse and interacting drivers of energy consumption.</w:t>
      </w:r>
    </w:p>
    <w:p w14:paraId="2CD90742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eastAsia="等线 Light" w:cs="等线 Light" w:asciiTheme="minorAscii" w:hAnsiTheme="minorAscii"/>
        </w:rPr>
      </w:pPr>
      <w:r>
        <w:rPr>
          <w:rFonts w:hint="default" w:eastAsia="等线 Light" w:cs="等线 Light" w:asciiTheme="minorAscii" w:hAnsiTheme="minorAscii"/>
          <w:b/>
          <w:bCs/>
        </w:rPr>
        <w:t>Our methodology is grounded in</w:t>
      </w:r>
      <w:r>
        <w:rPr>
          <w:rFonts w:hint="default" w:eastAsia="等线 Light" w:cs="等线 Light" w:asciiTheme="minorAscii" w:hAnsiTheme="minorAscii"/>
        </w:rPr>
        <w:t xml:space="preserve"> a </w:t>
      </w:r>
      <w:r>
        <w:rPr>
          <w:rFonts w:hint="default" w:eastAsia="等线 Light" w:cs="等线 Light" w:asciiTheme="minorAscii" w:hAnsiTheme="minorAscii"/>
          <w:b/>
          <w:bCs/>
        </w:rPr>
        <w:t>First-order RC Thévenin Equivalent Circuit Model (ECM)</w:t>
      </w:r>
      <w:r>
        <w:rPr>
          <w:rFonts w:hint="default" w:eastAsia="等线 Light" w:cs="等线 Light" w:asciiTheme="minorAscii" w:hAnsiTheme="minorAscii"/>
        </w:rPr>
        <w:t xml:space="preserve">, which captures transient polarization effects and voltage response dynamics from first principles. To bridge the gap between high-level human activity and physical power demand, we design a </w:t>
      </w:r>
      <w:r>
        <w:rPr>
          <w:rFonts w:hint="default" w:eastAsia="等线 Light" w:cs="等线 Light" w:asciiTheme="minorAscii" w:hAnsiTheme="minorAscii"/>
          <w:b/>
          <w:bCs/>
        </w:rPr>
        <w:t>Behavior-Driven Load Generation (B2L) Interface</w:t>
      </w:r>
      <w:r>
        <w:rPr>
          <w:rFonts w:hint="default" w:eastAsia="等线 Light" w:cs="等线 Light" w:asciiTheme="minorAscii" w:hAnsiTheme="minorAscii"/>
        </w:rPr>
        <w:t xml:space="preserve"> that dynamically decomposes aggregate usage into distinct subsystem loads, including display, CPU, and network modules. These electrical models are bi-directionally coupled with a </w:t>
      </w:r>
      <w:r>
        <w:rPr>
          <w:rFonts w:hint="default" w:eastAsia="等线 Light" w:cs="等线 Light" w:asciiTheme="minorAscii" w:hAnsiTheme="minorAscii"/>
          <w:b/>
          <w:bCs/>
        </w:rPr>
        <w:t>Lumped Thermal Dynamics Model</w:t>
      </w:r>
      <w:r>
        <w:rPr>
          <w:rFonts w:hint="default" w:eastAsia="等线 Light" w:cs="等线 Light" w:asciiTheme="minorAscii" w:hAnsiTheme="minorAscii"/>
        </w:rPr>
        <w:t>, where current-induced Joule heating alters the battery's internal resistance, and ambient temperature fluctuations constrain the electrochemical reaction rates.</w:t>
      </w:r>
    </w:p>
    <w:p w14:paraId="5360B902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eastAsia="等线 Light" w:cs="等线 Light" w:asciiTheme="minorAscii" w:hAnsiTheme="minorAscii"/>
        </w:rPr>
      </w:pPr>
      <w:r>
        <w:rPr>
          <w:rFonts w:hint="default" w:eastAsia="等线 Light" w:cs="等线 Light" w:asciiTheme="minorAscii" w:hAnsiTheme="minorAscii"/>
          <w:b/>
          <w:bCs/>
        </w:rPr>
        <w:t>Quantitative simulations reveal</w:t>
      </w:r>
      <w:r>
        <w:rPr>
          <w:rFonts w:hint="default" w:eastAsia="等线 Light" w:cs="等线 Light" w:asciiTheme="minorAscii" w:hAnsiTheme="minorAscii"/>
        </w:rPr>
        <w:t xml:space="preserve"> precise insights into the mechanisms of battery drain. We derived the specific display power law with a unit-area coefficient of </w:t>
      </w:r>
      <w:r>
        <w:rPr>
          <w:rFonts w:hint="default" w:eastAsia="等线 Light" w:cs="等线 Light" w:asciiTheme="minorAscii" w:hAnsiTheme="minorAscii"/>
          <w:b/>
          <w:bCs/>
        </w:rPr>
        <w:t>$\alpha=20.7 \text{ mW/cm}^2$</w:t>
      </w:r>
      <w:r>
        <w:rPr>
          <w:rFonts w:hint="default" w:eastAsia="等线 Light" w:cs="等线 Light" w:asciiTheme="minorAscii" w:hAnsiTheme="minorAscii"/>
        </w:rPr>
        <w:t xml:space="preserve"> and a non-linear brightness exponent of </w:t>
      </w:r>
      <w:r>
        <w:rPr>
          <w:rFonts w:hint="default" w:eastAsia="等线 Light" w:cs="等线 Light" w:asciiTheme="minorAscii" w:hAnsiTheme="minorAscii"/>
          <w:b/>
          <w:bCs/>
        </w:rPr>
        <w:t>$\gamma=1.8$</w:t>
      </w:r>
      <w:r>
        <w:rPr>
          <w:rFonts w:hint="default" w:eastAsia="等线 Light" w:cs="等线 Light" w:asciiTheme="minorAscii" w:hAnsiTheme="minorAscii"/>
        </w:rPr>
        <w:t xml:space="preserve">. A critical </w:t>
      </w:r>
      <w:r>
        <w:rPr>
          <w:rFonts w:hint="default" w:eastAsia="等线 Light" w:cs="等线 Light" w:asciiTheme="minorAscii" w:hAnsiTheme="minorAscii"/>
          <w:b/>
          <w:bCs/>
        </w:rPr>
        <w:t>"Penalty Gap"</w:t>
      </w:r>
      <w:r>
        <w:rPr>
          <w:rFonts w:hint="default" w:eastAsia="等线 Light" w:cs="等线 Light" w:asciiTheme="minorAscii" w:hAnsiTheme="minorAscii"/>
        </w:rPr>
        <w:t xml:space="preserve"> was identified in network usage: under heavy gaming loads, a degradation in signal strength from -60 dBm to -110 dBm precipitates a </w:t>
      </w:r>
      <w:r>
        <w:rPr>
          <w:rFonts w:hint="default" w:eastAsia="等线 Light" w:cs="等线 Light" w:asciiTheme="minorAscii" w:hAnsiTheme="minorAscii"/>
          <w:b/>
          <w:bCs/>
        </w:rPr>
        <w:t>40%</w:t>
      </w:r>
      <w:r>
        <w:rPr>
          <w:rFonts w:hint="default" w:eastAsia="等线 Light" w:cs="等线 Light" w:asciiTheme="minorAscii" w:hAnsiTheme="minorAscii"/>
        </w:rPr>
        <w:t xml:space="preserve"> reduction in TTE. Furthermore, the battery exhibits distinct </w:t>
      </w:r>
      <w:r>
        <w:rPr>
          <w:rFonts w:hint="default" w:eastAsia="等线 Light" w:cs="等线 Light" w:asciiTheme="minorAscii" w:hAnsiTheme="minorAscii"/>
          <w:b/>
          <w:bCs/>
        </w:rPr>
        <w:t>Thermal Asymmetry</w:t>
      </w:r>
      <w:r>
        <w:rPr>
          <w:rFonts w:hint="default" w:eastAsia="等线 Light" w:cs="等线 Light" w:asciiTheme="minorAscii" w:hAnsiTheme="minorAscii"/>
        </w:rPr>
        <w:t xml:space="preserve">: exposure to cold environments ($10^\circ\text{C}$) reduces TTE by </w:t>
      </w:r>
      <w:r>
        <w:rPr>
          <w:rFonts w:hint="default" w:eastAsia="等线 Light" w:cs="等线 Light" w:asciiTheme="minorAscii" w:hAnsiTheme="minorAscii"/>
          <w:b/>
          <w:bCs/>
        </w:rPr>
        <w:t>37%</w:t>
      </w:r>
      <w:r>
        <w:rPr>
          <w:rFonts w:hint="default" w:eastAsia="等线 Light" w:cs="等线 Light" w:asciiTheme="minorAscii" w:hAnsiTheme="minorAscii"/>
        </w:rPr>
        <w:t xml:space="preserve">, whereas high temperatures ($40^\circ\text{C}$) cause only a </w:t>
      </w:r>
      <w:r>
        <w:rPr>
          <w:rFonts w:hint="default" w:eastAsia="等线 Light" w:cs="等线 Light" w:asciiTheme="minorAscii" w:hAnsiTheme="minorAscii"/>
          <w:b/>
          <w:bCs/>
        </w:rPr>
        <w:t>13%</w:t>
      </w:r>
      <w:r>
        <w:rPr>
          <w:rFonts w:hint="default" w:eastAsia="等线 Light" w:cs="等线 Light" w:asciiTheme="minorAscii" w:hAnsiTheme="minorAscii"/>
        </w:rPr>
        <w:t xml:space="preserve"> reduction, confirming that cold stress is the primary environmental threat compared to heat. Additionally, the constant-current to constant-voltage charging transition threshold was identified at </w:t>
      </w:r>
      <w:r>
        <w:rPr>
          <w:rFonts w:hint="default" w:eastAsia="等线 Light" w:cs="等线 Light" w:asciiTheme="minorAscii" w:hAnsiTheme="minorAscii"/>
          <w:b/>
          <w:bCs/>
        </w:rPr>
        <w:t>$z_{knee} \approx 0.83$</w:t>
      </w:r>
      <w:r>
        <w:rPr>
          <w:rFonts w:hint="default" w:eastAsia="等线 Light" w:cs="等线 Light" w:asciiTheme="minorAscii" w:hAnsiTheme="minorAscii"/>
        </w:rPr>
        <w:t>.</w:t>
      </w:r>
    </w:p>
    <w:p w14:paraId="264B0144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eastAsia="等线 Light" w:cs="等线 Light" w:asciiTheme="minorAscii" w:hAnsiTheme="minorAscii"/>
        </w:rPr>
      </w:pPr>
      <w:r>
        <w:rPr>
          <w:rFonts w:hint="default" w:eastAsia="等线 Light" w:cs="等线 Light" w:asciiTheme="minorAscii" w:hAnsiTheme="minorAscii"/>
          <w:b/>
          <w:bCs/>
        </w:rPr>
        <w:t>Validation against</w:t>
      </w:r>
      <w:r>
        <w:rPr>
          <w:rFonts w:hint="default" w:eastAsia="等线 Light" w:cs="等线 Light" w:asciiTheme="minorAscii" w:hAnsiTheme="minorAscii"/>
        </w:rPr>
        <w:t xml:space="preserve"> the NASA battery aging dataset using Leave-One-Out Cross-Validation (LOOCV) demonstrates robust predictive accuracy, with relative errors consistently maintained within </w:t>
      </w:r>
      <w:r>
        <w:rPr>
          <w:rFonts w:hint="default" w:eastAsia="等线 Light" w:cs="等线 Light" w:asciiTheme="minorAscii" w:hAnsiTheme="minorAscii"/>
          <w:b/>
          <w:bCs/>
        </w:rPr>
        <w:t>10%</w:t>
      </w:r>
      <w:r>
        <w:rPr>
          <w:rFonts w:hint="default" w:eastAsia="等线 Light" w:cs="等线 Light" w:asciiTheme="minorAscii" w:hAnsiTheme="minorAscii"/>
        </w:rPr>
        <w:t>. Sensitivity analysis attributes the highest variance in TTE to signal strength parameters (</w:t>
      </w:r>
      <w:r>
        <w:rPr>
          <w:rFonts w:hint="default" w:eastAsia="等线 Light" w:cs="等线 Light" w:asciiTheme="minorAscii" w:hAnsiTheme="minorAscii"/>
          <w:b/>
          <w:bCs/>
        </w:rPr>
        <w:t>$\approx 56\%$</w:t>
      </w:r>
      <w:r>
        <w:rPr>
          <w:rFonts w:hint="default" w:eastAsia="等线 Light" w:cs="等线 Light" w:asciiTheme="minorAscii" w:hAnsiTheme="minorAscii"/>
        </w:rPr>
        <w:t>), significantly outweighing CPU load variations (</w:t>
      </w:r>
      <w:r>
        <w:rPr>
          <w:rFonts w:hint="default" w:eastAsia="等线 Light" w:cs="等线 Light" w:asciiTheme="minorAscii" w:hAnsiTheme="minorAscii"/>
          <w:b/>
          <w:bCs/>
        </w:rPr>
        <w:t>$\approx 6\%$</w:t>
      </w:r>
      <w:r>
        <w:rPr>
          <w:rFonts w:hint="default" w:eastAsia="等线 Light" w:cs="等线 Light" w:asciiTheme="minorAscii" w:hAnsiTheme="minorAscii"/>
        </w:rPr>
        <w:t xml:space="preserve">), establishing a dominant drain ranking of </w:t>
      </w:r>
      <w:r>
        <w:rPr>
          <w:rFonts w:hint="default" w:eastAsia="等线 Light" w:cs="等线 Light" w:asciiTheme="minorAscii" w:hAnsiTheme="minorAscii"/>
          <w:b/>
          <w:bCs/>
        </w:rPr>
        <w:t>Radio Activity &gt; Display Brightness &gt; CPU Load</w:t>
      </w:r>
      <w:r>
        <w:rPr>
          <w:rFonts w:hint="default" w:eastAsia="等线 Light" w:cs="等线 Light" w:asciiTheme="minorAscii" w:hAnsiTheme="minorAscii"/>
        </w:rPr>
        <w:t xml:space="preserve">. Based on these findings, we recommend that operating systems implement aggressive </w:t>
      </w:r>
      <w:r>
        <w:rPr>
          <w:rFonts w:hint="default" w:eastAsia="等线 Light" w:cs="等线 Light" w:asciiTheme="minorAscii" w:hAnsiTheme="minorAscii"/>
          <w:b/>
          <w:bCs/>
        </w:rPr>
        <w:t>"suspend-to-RAM"</w:t>
      </w:r>
      <w:r>
        <w:rPr>
          <w:rFonts w:hint="default" w:eastAsia="等线 Light" w:cs="等线 Light" w:asciiTheme="minorAscii" w:hAnsiTheme="minorAscii"/>
        </w:rPr>
        <w:t xml:space="preserve"> policies in weak signal zones and that users employ </w:t>
      </w:r>
      <w:r>
        <w:rPr>
          <w:rFonts w:hint="default" w:eastAsia="等线 Light" w:cs="等线 Light" w:asciiTheme="minorAscii" w:hAnsiTheme="minorAscii"/>
          <w:b/>
          <w:bCs/>
        </w:rPr>
        <w:t>Thermal pre-conditioning</w:t>
      </w:r>
      <w:r>
        <w:rPr>
          <w:rFonts w:hint="default" w:eastAsia="等线 Light" w:cs="等线 Light" w:asciiTheme="minorAscii" w:hAnsiTheme="minorAscii"/>
        </w:rPr>
        <w:t xml:space="preserve"> in cold environments to mitigate impedance-induced capacity loss.</w:t>
      </w:r>
    </w:p>
    <w:p w14:paraId="7A795A06">
      <w:pPr>
        <w:rPr>
          <w:rFonts w:hint="default" w:eastAsia="等线 Light" w:cs="等线 Light" w:asciiTheme="minorAscii" w:hAnsiTheme="minorAsci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232F2"/>
    <w:rsid w:val="5937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2026-02-02T18:36:20Z</dcterms:created>
  <dc:creator>22908</dc:creator>
  <cp:lastModifiedBy>Y77</cp:lastModifiedBy>
  <dcterms:modified xsi:type="dcterms:W3CDTF">2026-02-02T18:39:18Z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eyJoZGlkIjoiMmZjOWM4MDUyMDhlYTFkY2FhZDg5M2FjMDUzNjJhNjgiLCJ1c2VySWQiOiIxMTY5OTU3NTAzIn0=</vt:lpwstr>
  </property>
  <property fmtid="{D5CDD505-2E9C-101B-9397-08002B2CF9AE}" pid="4" name="ICV">
    <vt:lpwstr>09E781D420C2454EB76BD054F786F877_12</vt:lpwstr>
  </property>
</Properties>
</file>