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650B1">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4. Assessment Criterion: Documentation and Analysis</w:t>
      </w:r>
    </w:p>
    <w:p w14:paraId="1B6A76B6">
      <w:pPr>
        <w:rPr>
          <w:rFonts w:hint="eastAsia" w:ascii="Times New Roman" w:hAnsi="Times New Roman" w:eastAsia="宋体" w:cs="Times New Roman"/>
          <w:b w:val="0"/>
          <w:bCs w:val="0"/>
          <w:kern w:val="0"/>
          <w:sz w:val="24"/>
          <w:szCs w:val="24"/>
          <w:lang w:val="en-US" w:eastAsia="zh-CN" w:bidi="ar"/>
        </w:rPr>
      </w:pPr>
    </w:p>
    <w:p w14:paraId="6F91A133">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This section presents the technical foundation of MuseumMate. It details the system architecture, the specific integration methodologies for our AI models, and the evaluation framework designed to ensure reliability and user satisfaction.</w:t>
      </w:r>
    </w:p>
    <w:p w14:paraId="6F8D4D94">
      <w:pPr>
        <w:rPr>
          <w:rFonts w:hint="eastAsia" w:ascii="Times New Roman" w:hAnsi="Times New Roman" w:eastAsia="宋体" w:cs="Times New Roman"/>
          <w:b w:val="0"/>
          <w:bCs w:val="0"/>
          <w:kern w:val="0"/>
          <w:sz w:val="24"/>
          <w:szCs w:val="24"/>
          <w:lang w:val="en-US" w:eastAsia="zh-CN" w:bidi="ar"/>
        </w:rPr>
      </w:pPr>
    </w:p>
    <w:p w14:paraId="49ED4E72">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4.1 Technical Design Overview and System Architecture</w:t>
      </w:r>
    </w:p>
    <w:p w14:paraId="57AAE9AF">
      <w:pPr>
        <w:rPr>
          <w:rFonts w:hint="eastAsia" w:ascii="Times New Roman" w:hAnsi="Times New Roman" w:eastAsia="宋体" w:cs="Times New Roman"/>
          <w:b w:val="0"/>
          <w:bCs w:val="0"/>
          <w:kern w:val="0"/>
          <w:sz w:val="24"/>
          <w:szCs w:val="24"/>
          <w:lang w:val="en-US" w:eastAsia="zh-CN" w:bidi="ar"/>
        </w:rPr>
      </w:pPr>
    </w:p>
    <w:p w14:paraId="5ECDF9C4">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The MuseumMate application adopts a Hybrid Microservices Architecture, structured into three primary layers to manage the complexity of real-time data processing and generative AI tasks.</w:t>
      </w:r>
    </w:p>
    <w:p w14:paraId="2AA9CD5D">
      <w:pPr>
        <w:rPr>
          <w:rFonts w:hint="eastAsia" w:ascii="Times New Roman" w:hAnsi="Times New Roman" w:eastAsia="宋体" w:cs="Times New Roman"/>
          <w:b w:val="0"/>
          <w:bCs w:val="0"/>
          <w:kern w:val="0"/>
          <w:sz w:val="24"/>
          <w:szCs w:val="24"/>
          <w:lang w:val="en-US" w:eastAsia="zh-CN" w:bidi="ar"/>
        </w:rPr>
      </w:pPr>
    </w:p>
    <w:p w14:paraId="396345B5">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4.1.1 Layered Microservices Structure</w:t>
      </w:r>
    </w:p>
    <w:p w14:paraId="7B717798">
      <w:pPr>
        <w:rPr>
          <w:rFonts w:hint="eastAsia" w:ascii="Times New Roman" w:hAnsi="Times New Roman" w:eastAsia="宋体" w:cs="Times New Roman"/>
          <w:b w:val="0"/>
          <w:bCs w:val="0"/>
          <w:kern w:val="0"/>
          <w:sz w:val="24"/>
          <w:szCs w:val="24"/>
          <w:lang w:val="en-US" w:eastAsia="zh-CN" w:bidi="ar"/>
        </w:rPr>
      </w:pPr>
    </w:p>
    <w:p w14:paraId="130E36AF">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 xml:space="preserve">The architecture consists of three interconnected layers working in concert. The Interaction Layer serves as the frontend, built with Flutter to handle user input and </w:t>
      </w:r>
      <w:bookmarkStart w:id="0" w:name="_GoBack"/>
      <w:bookmarkEnd w:id="0"/>
      <w:r>
        <w:rPr>
          <w:rFonts w:hint="eastAsia" w:ascii="Times New Roman" w:hAnsi="Times New Roman" w:eastAsia="宋体" w:cs="Times New Roman"/>
          <w:b w:val="0"/>
          <w:bCs w:val="0"/>
          <w:kern w:val="0"/>
          <w:sz w:val="24"/>
          <w:szCs w:val="24"/>
          <w:lang w:val="en-US" w:eastAsia="zh-CN" w:bidi="ar"/>
        </w:rPr>
        <w:t>AR rendering while communicating with the backend via secure HTTPS RESTful APIs. The Intelligence Layer forms the computational core, hosted on a cloud platform such as AWS or AliCloud, and consists of containerized microservices managed by Kubernetes. This layer includes the Route Optimizer Service implemented in Python with FastAPI and the Narrative Engine Service, with auto-scaling configured to handle high concurrency of up to 1000 requests per second during museum peak hours. Supporting these components is the Data Layer, which enables high-throughput data access through Redis for caching real-time crowd data with 30-second refresh intervals, Milvus for vector storage of artwork descriptions, and Neo4j for the Knowledge Graph inspired by the ArtRAG framework [1].</w:t>
      </w:r>
    </w:p>
    <w:p w14:paraId="1E2EABA1">
      <w:pPr>
        <w:rPr>
          <w:rFonts w:hint="eastAsia" w:ascii="Times New Roman" w:hAnsi="Times New Roman" w:eastAsia="宋体" w:cs="Times New Roman"/>
          <w:b w:val="0"/>
          <w:bCs w:val="0"/>
          <w:kern w:val="0"/>
          <w:sz w:val="24"/>
          <w:szCs w:val="24"/>
          <w:lang w:val="en-US" w:eastAsia="zh-CN" w:bidi="ar"/>
        </w:rPr>
      </w:pPr>
    </w:p>
    <w:p w14:paraId="6389A4BE">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4.1.2 Data Flow and Workflow Integration</w:t>
      </w:r>
    </w:p>
    <w:p w14:paraId="5CC2F237">
      <w:pPr>
        <w:rPr>
          <w:rFonts w:hint="eastAsia" w:ascii="Times New Roman" w:hAnsi="Times New Roman" w:eastAsia="宋体" w:cs="Times New Roman"/>
          <w:b w:val="0"/>
          <w:bCs w:val="0"/>
          <w:kern w:val="0"/>
          <w:sz w:val="24"/>
          <w:szCs w:val="24"/>
          <w:lang w:val="en-US" w:eastAsia="zh-CN" w:bidi="ar"/>
        </w:rPr>
      </w:pPr>
    </w:p>
    <w:p w14:paraId="5688448C">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To illustrate the system dynamics, consider the data flow for a typical "60-minute Impressionism Tour" scenario. When the user submits their request, the mobile app sends a JSON payload containing user constraints to the API Gateway, which routes it to the appropriate backend services. Real-time crowd density data is fetched from IoT sensors via MQTT protocol, cached in Redis for 30 seconds to ensure low latency, and fed into the Route Optimizer. The Route Optimizer executes the pathfinding algorithm and returns a set of coordinate sequences representing different route options. As the user begins moving through the museum, Bluetooth beacons detect their proximity to specific artworks and trigger the Narrative Engine. The Narrative Engine then queries both the vector database and knowledge graph, calls the LLM API to generate contextually relevant explanations, and streams the audio content back to the user's device in real time. This seamless integration ensures that users experience minimal delay between scanning an artwork and receiving personalized narration.</w:t>
      </w:r>
    </w:p>
    <w:p w14:paraId="66383D22">
      <w:pPr>
        <w:rPr>
          <w:rFonts w:hint="eastAsia" w:ascii="Times New Roman" w:hAnsi="Times New Roman" w:eastAsia="宋体" w:cs="Times New Roman"/>
          <w:b w:val="0"/>
          <w:bCs w:val="0"/>
          <w:kern w:val="0"/>
          <w:sz w:val="24"/>
          <w:szCs w:val="24"/>
          <w:lang w:val="en-US" w:eastAsia="zh-CN" w:bidi="ar"/>
        </w:rPr>
      </w:pPr>
    </w:p>
    <w:p w14:paraId="29B08055">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4.2 AI Integration Plan</w:t>
      </w:r>
    </w:p>
    <w:p w14:paraId="0AF8B140">
      <w:pPr>
        <w:rPr>
          <w:rFonts w:hint="eastAsia" w:ascii="Times New Roman" w:hAnsi="Times New Roman" w:eastAsia="宋体" w:cs="Times New Roman"/>
          <w:b w:val="0"/>
          <w:bCs w:val="0"/>
          <w:kern w:val="0"/>
          <w:sz w:val="24"/>
          <w:szCs w:val="24"/>
          <w:lang w:val="en-US" w:eastAsia="zh-CN" w:bidi="ar"/>
        </w:rPr>
      </w:pPr>
    </w:p>
    <w:p w14:paraId="7E571BEF">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Our integration strategy focuses on embedding AI models as functional services within the application ecosystem, emphasizing API design, fault tolerance, and pipeline management.</w:t>
      </w:r>
    </w:p>
    <w:p w14:paraId="102E8259">
      <w:pPr>
        <w:rPr>
          <w:rFonts w:hint="eastAsia" w:ascii="Times New Roman" w:hAnsi="Times New Roman" w:eastAsia="宋体" w:cs="Times New Roman"/>
          <w:b w:val="0"/>
          <w:bCs w:val="0"/>
          <w:kern w:val="0"/>
          <w:sz w:val="24"/>
          <w:szCs w:val="24"/>
          <w:lang w:val="en-US" w:eastAsia="zh-CN" w:bidi="ar"/>
        </w:rPr>
      </w:pPr>
    </w:p>
    <w:p w14:paraId="254D90FB">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4.2.1 Intelligent Route Planning Integration</w:t>
      </w:r>
    </w:p>
    <w:p w14:paraId="7655B1B8">
      <w:pPr>
        <w:rPr>
          <w:rFonts w:hint="eastAsia" w:ascii="Times New Roman" w:hAnsi="Times New Roman" w:eastAsia="宋体" w:cs="Times New Roman"/>
          <w:b w:val="0"/>
          <w:bCs w:val="0"/>
          <w:kern w:val="0"/>
          <w:sz w:val="24"/>
          <w:szCs w:val="24"/>
          <w:lang w:val="en-US" w:eastAsia="zh-CN" w:bidi="ar"/>
        </w:rPr>
      </w:pPr>
    </w:p>
    <w:p w14:paraId="5D098AFF">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We integrate the AONSGA algorithm [2] not as a standalone script, but as a robust backend microservice designed for production reliability. The service exposes a POST endpoint at /api/route/optimize that accepts a congestion matrix and user preferences as input, returning a Pareto-optimal set of routes in GeoJSON format for easy visualization on mobile devices. Unlike standard navigation systems that optimize for a single objective, this service performs multi-objective optimization to balance competing goals such as minimizing walking distance while avoiding crowded galleries. To ensure system stability, we implement a fallback mechanism where if the AONSGA algorithm fails to converge within 5 seconds due to calculation complexity, the system automatically switches to a standard Dijkstra algorithm to guarantee the user receives a valid route immediately, albeit one that may be less optimized. Performance is further enhanced through edge computing, where the congestion matrix is pre-processed on edge servers to reduce transmission overhead, ensuring the algorithm operates on the freshest data without network bottlenecks.</w:t>
      </w:r>
    </w:p>
    <w:p w14:paraId="0E3F75C4">
      <w:pPr>
        <w:rPr>
          <w:rFonts w:hint="eastAsia" w:ascii="Times New Roman" w:hAnsi="Times New Roman" w:eastAsia="宋体" w:cs="Times New Roman"/>
          <w:b w:val="0"/>
          <w:bCs w:val="0"/>
          <w:kern w:val="0"/>
          <w:sz w:val="24"/>
          <w:szCs w:val="24"/>
          <w:lang w:val="en-US" w:eastAsia="zh-CN" w:bidi="ar"/>
        </w:rPr>
      </w:pPr>
    </w:p>
    <w:p w14:paraId="7A67622D">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4.2.2 Provenance-Aware Storytelling Integration</w:t>
      </w:r>
    </w:p>
    <w:p w14:paraId="64535109">
      <w:pPr>
        <w:rPr>
          <w:rFonts w:hint="eastAsia" w:ascii="Times New Roman" w:hAnsi="Times New Roman" w:eastAsia="宋体" w:cs="Times New Roman"/>
          <w:b w:val="0"/>
          <w:bCs w:val="0"/>
          <w:kern w:val="0"/>
          <w:sz w:val="24"/>
          <w:szCs w:val="24"/>
          <w:lang w:val="en-US" w:eastAsia="zh-CN" w:bidi="ar"/>
        </w:rPr>
      </w:pPr>
    </w:p>
    <w:p w14:paraId="47971851">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We incorporate GPT-4 into the system through the MuseRAG++ pipeline [3], explicitly designed to mitigate hallucinations and enforce historical accuracy. The integration follows a strict five-step execution flow that ensures both quality and traceability. First, the user's query and current location context are encoded using a local SentenceTransformer model to reduce API token costs while maintaining semantic fidelity. Next, the system performs hybrid retrieval by executing parallel searches: a vector search on Milvus retrieves the top-k most semantically relevant artwork descriptions, while a Cypher query on Neo4j extracts structured historical relationships such as "Student of" or "Influenced by" connections between artists [1]. The retrieved evidence is then injected into a strict System Prompt Template that defines the "Curator Persona" boundaries [4] and explicitly instructs the model to answer only using the provided context, preventing fabrication of facts. The assembled prompt is sent to the GPT-4 API configured with a temperature of 0.7 to balance creativity with factual accuracy. Finally, the generated text undergoes post-processing where it is parsed to append citations pointing back to specific museum archive sources before being converted to speech [3], ensuring users can verify the information if desired. This multi-stage pipeline transforms raw AI outputs into trustworthy, educational content suitable for museum environments.</w:t>
      </w:r>
    </w:p>
    <w:p w14:paraId="63EBE083">
      <w:pPr>
        <w:rPr>
          <w:rFonts w:hint="eastAsia" w:ascii="Times New Roman" w:hAnsi="Times New Roman" w:eastAsia="宋体" w:cs="Times New Roman"/>
          <w:b w:val="0"/>
          <w:bCs w:val="0"/>
          <w:kern w:val="0"/>
          <w:sz w:val="24"/>
          <w:szCs w:val="24"/>
          <w:lang w:val="en-US" w:eastAsia="zh-CN" w:bidi="ar"/>
        </w:rPr>
      </w:pPr>
    </w:p>
    <w:p w14:paraId="7BB437C1">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4.3 Preliminary Evaluation Plan</w:t>
      </w:r>
    </w:p>
    <w:p w14:paraId="7B8176ED">
      <w:pPr>
        <w:rPr>
          <w:rFonts w:hint="eastAsia" w:ascii="Times New Roman" w:hAnsi="Times New Roman" w:eastAsia="宋体" w:cs="Times New Roman"/>
          <w:b w:val="0"/>
          <w:bCs w:val="0"/>
          <w:kern w:val="0"/>
          <w:sz w:val="24"/>
          <w:szCs w:val="24"/>
          <w:lang w:val="en-US" w:eastAsia="zh-CN" w:bidi="ar"/>
        </w:rPr>
      </w:pPr>
    </w:p>
    <w:p w14:paraId="618662E4">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To validate our solution, we propose a comprehensive evaluation strategy covering both technical performance and user experience, ensuring that MuseumMate functions reliably while delivering meaningful value to visitors.</w:t>
      </w:r>
    </w:p>
    <w:p w14:paraId="190AAAD6">
      <w:pPr>
        <w:rPr>
          <w:rFonts w:hint="eastAsia" w:ascii="Times New Roman" w:hAnsi="Times New Roman" w:eastAsia="宋体" w:cs="Times New Roman"/>
          <w:b w:val="0"/>
          <w:bCs w:val="0"/>
          <w:kern w:val="0"/>
          <w:sz w:val="24"/>
          <w:szCs w:val="24"/>
          <w:lang w:val="en-US" w:eastAsia="zh-CN" w:bidi="ar"/>
        </w:rPr>
      </w:pPr>
    </w:p>
    <w:p w14:paraId="284F6878">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4.3.1 Technical Metrics through Quantitative Analysis</w:t>
      </w:r>
    </w:p>
    <w:p w14:paraId="266C5AE1">
      <w:pPr>
        <w:rPr>
          <w:rFonts w:hint="eastAsia" w:ascii="Times New Roman" w:hAnsi="Times New Roman" w:eastAsia="宋体" w:cs="Times New Roman"/>
          <w:b w:val="0"/>
          <w:bCs w:val="0"/>
          <w:kern w:val="0"/>
          <w:sz w:val="24"/>
          <w:szCs w:val="24"/>
          <w:lang w:val="en-US" w:eastAsia="zh-CN" w:bidi="ar"/>
        </w:rPr>
      </w:pPr>
    </w:p>
    <w:p w14:paraId="7B8EC28B">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We will measure route optimization efficiency using Hypervolume (HV) and Generational Distance (GD) metrics [2]. GD validates that the algorithm converges toward the theoretical optimal path rather than settling for suboptimal solutions, while HV ensures the system offers genuinely diverse route choices such as a short route versus a quieter route, rather than presenting three nearly identical variations. System latency will be tested rigorously, with target thresholds of under 2 seconds for route generation and under 1 second for narrative generation to ensure a smooth user experience without perceptible delays. For content quality, we will assess the AI guide using Factuality Scores with a target above 4.5 out of 5 based on the MuseRAG++ benchmark [3], ensuring the AI does not mislead visitors with incorrect historical dates, misattributed artworks, or invented interpretations.</w:t>
      </w:r>
    </w:p>
    <w:p w14:paraId="339BB4C8">
      <w:pPr>
        <w:rPr>
          <w:rFonts w:hint="eastAsia" w:ascii="Times New Roman" w:hAnsi="Times New Roman" w:eastAsia="宋体" w:cs="Times New Roman"/>
          <w:b w:val="0"/>
          <w:bCs w:val="0"/>
          <w:kern w:val="0"/>
          <w:sz w:val="24"/>
          <w:szCs w:val="24"/>
          <w:lang w:val="en-US" w:eastAsia="zh-CN" w:bidi="ar"/>
        </w:rPr>
      </w:pPr>
    </w:p>
    <w:p w14:paraId="570138DB">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4.3.2 User Experience Evaluation through Qualitative Analysis</w:t>
      </w:r>
    </w:p>
    <w:p w14:paraId="42662FBC">
      <w:pPr>
        <w:rPr>
          <w:rFonts w:hint="eastAsia" w:ascii="Times New Roman" w:hAnsi="Times New Roman" w:eastAsia="宋体" w:cs="Times New Roman"/>
          <w:b w:val="0"/>
          <w:bCs w:val="0"/>
          <w:kern w:val="0"/>
          <w:sz w:val="24"/>
          <w:szCs w:val="24"/>
          <w:lang w:val="en-US" w:eastAsia="zh-CN" w:bidi="ar"/>
        </w:rPr>
      </w:pPr>
    </w:p>
    <w:p w14:paraId="1E2D42B5">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We plan to conduct a controlled study involving 50 participants with varying levels of museum experience, aged 18 to 65, in a simulated digital museum environment where each participant will complete a 30-minute guided tour task [3]. Our evaluation will focus on interpretability, assessing whether users can understand why a specific route was recommended or why a particular story was told, thereby validating the transparency of our recommendation logic and retrieval-augmented generation system. We will also evaluate persona consistency using a structured questionnaire to determine if the AI maintains its "Professional Curator" role throughout the interaction without drifting into modern slang, breaking character, or generating anachronistic content, following established validation protocols for historical personas [4]. These qualitative metrics are essential because high technical accuracy does not automatically translate to a positive user experience. They provide evidence that MuseumMate genuinely enhances engagement and learning rather than simply functioning as an automated text reader, addressing the core problem of static, uninspiring museum audio guides.</w:t>
      </w:r>
    </w:p>
    <w:p w14:paraId="19BCC552">
      <w:pPr>
        <w:rPr>
          <w:rFonts w:hint="eastAsia" w:ascii="Times New Roman" w:hAnsi="Times New Roman" w:eastAsia="宋体" w:cs="Times New Roman"/>
          <w:b w:val="0"/>
          <w:bCs w:val="0"/>
          <w:kern w:val="0"/>
          <w:sz w:val="24"/>
          <w:szCs w:val="24"/>
          <w:lang w:val="en-US" w:eastAsia="zh-CN" w:bidi="ar"/>
        </w:rPr>
      </w:pPr>
    </w:p>
    <w:p w14:paraId="3D66FAE4">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References</w:t>
      </w:r>
    </w:p>
    <w:p w14:paraId="1F3ADCA4">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[1] S. Wang et al., "ArtRAG: Structured Context Retrieval-Augmented Framework for Artwork Explanation Generation," University of Amsterdam.</w:t>
      </w:r>
    </w:p>
    <w:p w14:paraId="091BEBFC">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[2] Y. Xu, Q. Guo, A. Tan, L. Xu, Y. Tu, and S. Liu, "Multi-objective Route Planning of Museum Guide based on an Improved NSGA-II Algorithm," Journal of Physics: Conference Series, vol. 1828, no. 1, p. 012051, 2021.</w:t>
      </w:r>
    </w:p>
    <w:p w14:paraId="35174276">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[3] Y. Hu, "MuseRAG++: A Deep Retrieval-Augmented Generation Framework for Semantic Interaction and Multi-Modal Reasoning in Virtual Museums," Research Square, Aug. 2025. doi: 10.21203/rs.3.rs-7281889/v1.</w:t>
      </w:r>
    </w:p>
    <w:p w14:paraId="641AC72A">
      <w:pPr>
        <w:rPr>
          <w:rFonts w:hint="default"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[4] B. DaCosta, "Speaking with the Past: Constructing AI-Generated Historical Characters for Cultural Heritage and Learning," Heritage, vol. 8, no. 9, p. 387, Sep. 2025.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A03F0E"/>
    <w:rsid w:val="14A03F0E"/>
    <w:rsid w:val="455F5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19</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2025-11-26T02:41:00Z</dcterms:created>
  <dc:creator>Y77</dc:creator>
  <cp:lastModifiedBy>Y77</cp:lastModifiedBy>
  <dcterms:modified xsi:type="dcterms:W3CDTF">2025-11-26T03:01:37Z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3BA52C6A35B64281AA7856DEFA203FD8_11</vt:lpwstr>
  </property>
  <property fmtid="{D5CDD505-2E9C-101B-9397-08002B2CF9AE}" pid="4" name="KSOTemplateDocerSaveRecord">
    <vt:lpwstr>eyJoZGlkIjoiMmZjOWM4MDUyMDhlYTFkY2FhZDg5M2FjMDUzNjJhNjgiLCJ1c2VySWQiOiIxMTY5OTU3NTAzIn0=</vt:lpwstr>
  </property>
</Properties>
</file>