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2"/>
        </w:rPr>
        <w:t>Supporting Information</w:t>
      </w:r>
    </w:p>
    <w:p>
      <w:pPr>
        <w:spacing w:after="160"/>
        <w:jc w:val="center"/>
      </w:pPr>
      <w:r>
        <w:rPr>
          <w:rFonts w:ascii="Times New Roman" w:hAnsi="Times New Roman"/>
          <w:b/>
          <w:sz w:val="26"/>
        </w:rPr>
        <w:t>Algorithm S1. Software-Independent Pseudocode for MATISSE Volumetric-Topology Characterization</w:t>
      </w:r>
    </w:p>
    <w:p>
      <w:pPr>
        <w:spacing w:after="60" w:line="240" w:lineRule="auto"/>
      </w:pPr>
      <w:r>
        <w:rPr>
          <w:rFonts w:ascii="Times New Roman" w:hAnsi="Times New Roman"/>
          <w:b/>
          <w:sz w:val="21"/>
        </w:rPr>
        <w:t xml:space="preserve">Scope. </w:t>
      </w:r>
      <w:r>
        <w:rPr>
          <w:rFonts w:ascii="Times New Roman" w:hAnsi="Times New Roman"/>
          <w:sz w:val="21"/>
        </w:rPr>
        <w:t xml:space="preserve">This pseudocode is derived from the operational logic of the MATISSE macro </w:t>
      </w:r>
      <w:r>
        <w:rPr>
          <w:rFonts w:ascii="Times New Roman" w:hAnsi="Times New Roman"/>
          <w:i/>
          <w:sz w:val="21"/>
        </w:rPr>
        <w:t>newMatisse_v5.mcr</w:t>
      </w:r>
      <w:r>
        <w:rPr>
          <w:rFonts w:ascii="Times New Roman" w:hAnsi="Times New Roman"/>
          <w:sz w:val="21"/>
        </w:rPr>
        <w:t>. YASARA-specific visualization and user-interface commands are omitted. Software-specific preprocessing commands that do not define the volumetric geometry are identified separately so that the scientific workflow can be independently reimplemented with freely available computational tools.</w:t>
      </w:r>
    </w:p>
    <w:p>
      <w:pPr>
        <w:spacing w:after="60" w:line="240" w:lineRule="auto"/>
      </w:pPr>
      <w:r>
        <w:rPr>
          <w:rFonts w:ascii="Times New Roman" w:hAnsi="Times New Roman"/>
          <w:b/>
          <w:sz w:val="21"/>
        </w:rPr>
        <w:t xml:space="preserve">Important implementation note. </w:t>
      </w:r>
      <w:r>
        <w:rPr>
          <w:rFonts w:ascii="Times New Roman" w:hAnsi="Times New Roman"/>
          <w:sz w:val="21"/>
        </w:rPr>
        <w:t>The original macro stores the water–water distance matrix before the five annealing/measurement cycles. The pseudocode below preserves that behavior explicitly. If the production implementation is intended instead to use cycle-specific water coordinates for sphere–sphere distances, that point should be confirmed before the pseudocode is used as the definitive reproducibility description.</w:t>
      </w:r>
    </w:p>
    <w:p>
      <w:pPr>
        <w:spacing w:before="100" w:after="80"/>
      </w:pPr>
      <w:r>
        <w:rPr>
          <w:rFonts w:ascii="Times New Roman" w:hAnsi="Times New Roman"/>
          <w:b/>
          <w:sz w:val="22"/>
        </w:rPr>
        <w:t>Inputs and fixed parameters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7E6E6"/>
          </w:tcPr>
          <w:p>
            <w:r>
              <w:rPr>
                <w:rFonts w:ascii="Times New Roman" w:hAnsi="Times New Roman"/>
                <w:b/>
                <w:sz w:val="18"/>
              </w:rPr>
              <w:t>Item</w:t>
            </w:r>
          </w:p>
        </w:tc>
        <w:tc>
          <w:tcPr>
            <w:tcW w:type="dxa" w:w="3360"/>
            <w:shd w:fill="E7E6E6"/>
          </w:tcPr>
          <w:p>
            <w:r>
              <w:rPr>
                <w:rFonts w:ascii="Times New Roman" w:hAnsi="Times New Roman"/>
                <w:b/>
                <w:sz w:val="18"/>
              </w:rPr>
              <w:t>Value / definition</w:t>
            </w:r>
          </w:p>
        </w:tc>
        <w:tc>
          <w:tcPr>
            <w:tcW w:type="dxa" w:w="3360"/>
            <w:shd w:fill="E7E6E6"/>
          </w:tcPr>
          <w:p>
            <w:r>
              <w:rPr>
                <w:rFonts w:ascii="Times New Roman" w:hAnsi="Times New Roman"/>
                <w:b/>
                <w:sz w:val="18"/>
              </w:rPr>
              <w:t>Source in macro</w:t>
            </w:r>
          </w:p>
        </w:tc>
      </w:tr>
      <w:tr>
        <w:tc>
          <w:tcPr>
            <w:tcW w:type="dxa" w:w="3360"/>
            <w:vAlign w:val="center"/>
          </w:tcPr>
          <w:p>
            <w:pPr>
              <w:spacing w:after="0"/>
            </w:pPr>
            <w:r>
              <w:rPr>
                <w:rFonts w:ascii="Times New Roman" w:hAnsi="Times New Roman"/>
                <w:sz w:val="17"/>
              </w:rPr>
              <w:t>Input structure</w:t>
            </w:r>
          </w:p>
        </w:tc>
        <w:tc>
          <w:tcPr>
            <w:tcW w:type="dxa" w:w="3360"/>
            <w:vAlign w:val="center"/>
          </w:tcPr>
          <w:p>
            <w:pPr>
              <w:spacing w:after="0"/>
            </w:pPr>
            <w:r>
              <w:rPr>
                <w:rFonts w:ascii="Times New Roman" w:hAnsi="Times New Roman"/>
                <w:sz w:val="17"/>
              </w:rPr>
              <w:t>YASARA scene containing protein as object 1 and ligand as object 2</w:t>
            </w:r>
          </w:p>
        </w:tc>
        <w:tc>
          <w:tcPr>
            <w:tcW w:type="dxa" w:w="3360"/>
            <w:vAlign w:val="center"/>
          </w:tcPr>
          <w:p>
            <w:pPr>
              <w:spacing w:after="0"/>
            </w:pPr>
            <w:r>
              <w:rPr>
                <w:rFonts w:ascii="Times New Roman" w:hAnsi="Times New Roman"/>
                <w:sz w:val="17"/>
              </w:rPr>
              <w:t>LoadSce; object checks</w:t>
            </w:r>
          </w:p>
        </w:tc>
      </w:tr>
      <w:tr>
        <w:tc>
          <w:tcPr>
            <w:tcW w:type="dxa" w:w="3360"/>
            <w:vAlign w:val="center"/>
          </w:tcPr>
          <w:p>
            <w:pPr>
              <w:spacing w:after="0"/>
            </w:pPr>
            <w:r>
              <w:rPr>
                <w:rFonts w:ascii="Times New Roman" w:hAnsi="Times New Roman"/>
                <w:sz w:val="17"/>
              </w:rPr>
              <w:t>Measurement cycles</w:t>
            </w:r>
          </w:p>
        </w:tc>
        <w:tc>
          <w:tcPr>
            <w:tcW w:type="dxa" w:w="3360"/>
            <w:vAlign w:val="center"/>
          </w:tcPr>
          <w:p>
            <w:pPr>
              <w:spacing w:after="0"/>
            </w:pPr>
            <w:r>
              <w:rPr>
                <w:rFonts w:ascii="Times New Roman" w:hAnsi="Times New Roman"/>
                <w:sz w:val="17"/>
              </w:rPr>
              <w:t>5</w:t>
            </w:r>
          </w:p>
        </w:tc>
        <w:tc>
          <w:tcPr>
            <w:tcW w:type="dxa" w:w="3360"/>
            <w:vAlign w:val="center"/>
          </w:tcPr>
          <w:p>
            <w:pPr>
              <w:spacing w:after="0"/>
            </w:pPr>
            <w:r>
              <w:rPr>
                <w:rFonts w:ascii="Times New Roman" w:hAnsi="Times New Roman"/>
                <w:sz w:val="17"/>
              </w:rPr>
              <w:t>numeroCicli = 5</w:t>
            </w:r>
          </w:p>
        </w:tc>
      </w:tr>
      <w:tr>
        <w:tc>
          <w:tcPr>
            <w:tcW w:type="dxa" w:w="3360"/>
            <w:vAlign w:val="center"/>
          </w:tcPr>
          <w:p>
            <w:pPr>
              <w:spacing w:after="0"/>
            </w:pPr>
            <w:r>
              <w:rPr>
                <w:rFonts w:ascii="Times New Roman" w:hAnsi="Times New Roman"/>
                <w:sz w:val="17"/>
              </w:rPr>
              <w:t>Simulation cell</w:t>
            </w:r>
          </w:p>
        </w:tc>
        <w:tc>
          <w:tcPr>
            <w:tcW w:type="dxa" w:w="3360"/>
            <w:vAlign w:val="center"/>
          </w:tcPr>
          <w:p>
            <w:pPr>
              <w:spacing w:after="0"/>
            </w:pPr>
            <w:r>
              <w:rPr>
                <w:rFonts w:ascii="Times New Roman" w:hAnsi="Times New Roman"/>
                <w:sz w:val="17"/>
              </w:rPr>
              <w:t>Automatic cuboid; 1 Å extension</w:t>
            </w:r>
          </w:p>
        </w:tc>
        <w:tc>
          <w:tcPr>
            <w:tcW w:type="dxa" w:w="3360"/>
            <w:vAlign w:val="center"/>
          </w:tcPr>
          <w:p>
            <w:pPr>
              <w:spacing w:after="0"/>
            </w:pPr>
            <w:r>
              <w:rPr>
                <w:rFonts w:ascii="Times New Roman" w:hAnsi="Times New Roman"/>
                <w:sz w:val="17"/>
              </w:rPr>
              <w:t>Cell Auto, Extension=1, Shape=Cuboid</w:t>
            </w:r>
          </w:p>
        </w:tc>
      </w:tr>
      <w:tr>
        <w:tc>
          <w:tcPr>
            <w:tcW w:type="dxa" w:w="3360"/>
            <w:vAlign w:val="center"/>
          </w:tcPr>
          <w:p>
            <w:pPr>
              <w:spacing w:after="0"/>
            </w:pPr>
            <w:r>
              <w:rPr>
                <w:rFonts w:ascii="Times New Roman" w:hAnsi="Times New Roman"/>
                <w:sz w:val="17"/>
              </w:rPr>
              <w:t>Water density</w:t>
            </w:r>
          </w:p>
        </w:tc>
        <w:tc>
          <w:tcPr>
            <w:tcW w:type="dxa" w:w="3360"/>
            <w:vAlign w:val="center"/>
          </w:tcPr>
          <w:p>
            <w:pPr>
              <w:spacing w:after="0"/>
            </w:pPr>
            <w:r>
              <w:rPr>
                <w:rFonts w:ascii="Times New Roman" w:hAnsi="Times New Roman"/>
                <w:sz w:val="17"/>
              </w:rPr>
              <w:t>0.997 g cm⁻³</w:t>
            </w:r>
          </w:p>
        </w:tc>
        <w:tc>
          <w:tcPr>
            <w:tcW w:type="dxa" w:w="3360"/>
            <w:vAlign w:val="center"/>
          </w:tcPr>
          <w:p>
            <w:pPr>
              <w:spacing w:after="0"/>
            </w:pPr>
            <w:r>
              <w:rPr>
                <w:rFonts w:ascii="Times New Roman" w:hAnsi="Times New Roman"/>
                <w:sz w:val="17"/>
              </w:rPr>
              <w:t>FillCellWater Density=0.997</w:t>
            </w:r>
          </w:p>
        </w:tc>
      </w:tr>
      <w:tr>
        <w:tc>
          <w:tcPr>
            <w:tcW w:type="dxa" w:w="3360"/>
            <w:vAlign w:val="center"/>
          </w:tcPr>
          <w:p>
            <w:pPr>
              <w:spacing w:after="0"/>
            </w:pPr>
            <w:r>
              <w:rPr>
                <w:rFonts w:ascii="Times New Roman" w:hAnsi="Times New Roman"/>
                <w:sz w:val="17"/>
              </w:rPr>
              <w:t>Solvent probe</w:t>
            </w:r>
          </w:p>
        </w:tc>
        <w:tc>
          <w:tcPr>
            <w:tcW w:type="dxa" w:w="3360"/>
            <w:vAlign w:val="center"/>
          </w:tcPr>
          <w:p>
            <w:pPr>
              <w:spacing w:after="0"/>
            </w:pPr>
            <w:r>
              <w:rPr>
                <w:rFonts w:ascii="Times New Roman" w:hAnsi="Times New Roman"/>
                <w:sz w:val="17"/>
              </w:rPr>
              <w:t>1.4 Å</w:t>
            </w:r>
          </w:p>
        </w:tc>
        <w:tc>
          <w:tcPr>
            <w:tcW w:type="dxa" w:w="3360"/>
            <w:vAlign w:val="center"/>
          </w:tcPr>
          <w:p>
            <w:pPr>
              <w:spacing w:after="0"/>
            </w:pPr>
            <w:r>
              <w:rPr>
                <w:rFonts w:ascii="Times New Roman" w:hAnsi="Times New Roman"/>
                <w:sz w:val="17"/>
              </w:rPr>
              <w:t>Probe=1.4</w:t>
            </w:r>
          </w:p>
        </w:tc>
      </w:tr>
      <w:tr>
        <w:tc>
          <w:tcPr>
            <w:tcW w:type="dxa" w:w="3360"/>
            <w:vAlign w:val="center"/>
          </w:tcPr>
          <w:p>
            <w:pPr>
              <w:spacing w:after="0"/>
            </w:pPr>
            <w:r>
              <w:rPr>
                <w:rFonts w:ascii="Times New Roman" w:hAnsi="Times New Roman"/>
                <w:sz w:val="17"/>
              </w:rPr>
              <w:t>Force field</w:t>
            </w:r>
          </w:p>
        </w:tc>
        <w:tc>
          <w:tcPr>
            <w:tcW w:type="dxa" w:w="3360"/>
            <w:vAlign w:val="center"/>
          </w:tcPr>
          <w:p>
            <w:pPr>
              <w:spacing w:after="0"/>
            </w:pPr>
            <w:r>
              <w:rPr>
                <w:rFonts w:ascii="Times New Roman" w:hAnsi="Times New Roman"/>
                <w:sz w:val="17"/>
              </w:rPr>
              <w:t>AMBER03</w:t>
            </w:r>
          </w:p>
        </w:tc>
        <w:tc>
          <w:tcPr>
            <w:tcW w:type="dxa" w:w="3360"/>
            <w:vAlign w:val="center"/>
          </w:tcPr>
          <w:p>
            <w:pPr>
              <w:spacing w:after="0"/>
            </w:pPr>
            <w:r>
              <w:rPr>
                <w:rFonts w:ascii="Times New Roman" w:hAnsi="Times New Roman"/>
                <w:sz w:val="17"/>
              </w:rPr>
              <w:t>ForceField AMBER03</w:t>
            </w:r>
          </w:p>
        </w:tc>
      </w:tr>
      <w:tr>
        <w:tc>
          <w:tcPr>
            <w:tcW w:type="dxa" w:w="3360"/>
            <w:vAlign w:val="center"/>
          </w:tcPr>
          <w:p>
            <w:pPr>
              <w:spacing w:after="0"/>
            </w:pPr>
            <w:r>
              <w:rPr>
                <w:rFonts w:ascii="Times New Roman" w:hAnsi="Times New Roman"/>
                <w:sz w:val="17"/>
              </w:rPr>
              <w:t>Nonbonded cutoff</w:t>
            </w:r>
          </w:p>
        </w:tc>
        <w:tc>
          <w:tcPr>
            <w:tcW w:type="dxa" w:w="3360"/>
            <w:vAlign w:val="center"/>
          </w:tcPr>
          <w:p>
            <w:pPr>
              <w:spacing w:after="0"/>
            </w:pPr>
            <w:r>
              <w:rPr>
                <w:rFonts w:ascii="Times New Roman" w:hAnsi="Times New Roman"/>
                <w:sz w:val="17"/>
              </w:rPr>
              <w:t>10.5 Å</w:t>
            </w:r>
          </w:p>
        </w:tc>
        <w:tc>
          <w:tcPr>
            <w:tcW w:type="dxa" w:w="3360"/>
            <w:vAlign w:val="center"/>
          </w:tcPr>
          <w:p>
            <w:pPr>
              <w:spacing w:after="0"/>
            </w:pPr>
            <w:r>
              <w:rPr>
                <w:rFonts w:ascii="Times New Roman" w:hAnsi="Times New Roman"/>
                <w:sz w:val="17"/>
              </w:rPr>
              <w:t>Cutoff 10.50000</w:t>
            </w:r>
          </w:p>
        </w:tc>
      </w:tr>
      <w:tr>
        <w:tc>
          <w:tcPr>
            <w:tcW w:type="dxa" w:w="3360"/>
            <w:vAlign w:val="center"/>
          </w:tcPr>
          <w:p>
            <w:pPr>
              <w:spacing w:after="0"/>
            </w:pPr>
            <w:r>
              <w:rPr>
                <w:rFonts w:ascii="Times New Roman" w:hAnsi="Times New Roman"/>
                <w:sz w:val="17"/>
              </w:rPr>
              <w:t>Long-range treatment</w:t>
            </w:r>
          </w:p>
        </w:tc>
        <w:tc>
          <w:tcPr>
            <w:tcW w:type="dxa" w:w="3360"/>
            <w:vAlign w:val="center"/>
          </w:tcPr>
          <w:p>
            <w:pPr>
              <w:spacing w:after="0"/>
            </w:pPr>
            <w:r>
              <w:rPr>
                <w:rFonts w:ascii="Times New Roman" w:hAnsi="Times New Roman"/>
                <w:sz w:val="17"/>
              </w:rPr>
              <w:t>None in the macro</w:t>
            </w:r>
          </w:p>
        </w:tc>
        <w:tc>
          <w:tcPr>
            <w:tcW w:type="dxa" w:w="3360"/>
            <w:vAlign w:val="center"/>
          </w:tcPr>
          <w:p>
            <w:pPr>
              <w:spacing w:after="0"/>
            </w:pPr>
            <w:r>
              <w:rPr>
                <w:rFonts w:ascii="Times New Roman" w:hAnsi="Times New Roman"/>
                <w:sz w:val="17"/>
              </w:rPr>
              <w:t>Longrange None</w:t>
            </w:r>
          </w:p>
        </w:tc>
      </w:tr>
      <w:tr>
        <w:tc>
          <w:tcPr>
            <w:tcW w:type="dxa" w:w="3360"/>
            <w:vAlign w:val="center"/>
          </w:tcPr>
          <w:p>
            <w:pPr>
              <w:spacing w:after="0"/>
            </w:pPr>
            <w:r>
              <w:rPr>
                <w:rFonts w:ascii="Times New Roman" w:hAnsi="Times New Roman"/>
                <w:sz w:val="17"/>
              </w:rPr>
              <w:t>Cavity-water cutoff</w:t>
            </w:r>
          </w:p>
        </w:tc>
        <w:tc>
          <w:tcPr>
            <w:tcW w:type="dxa" w:w="3360"/>
            <w:vAlign w:val="center"/>
          </w:tcPr>
          <w:p>
            <w:pPr>
              <w:spacing w:after="0"/>
            </w:pPr>
            <w:r>
              <w:rPr>
                <w:rFonts w:ascii="Times New Roman" w:hAnsi="Times New Roman"/>
                <w:sz w:val="17"/>
              </w:rPr>
              <w:t>r &lt; 4.1 Å to nearest protein atom</w:t>
            </w:r>
          </w:p>
        </w:tc>
        <w:tc>
          <w:tcPr>
            <w:tcW w:type="dxa" w:w="3360"/>
            <w:vAlign w:val="center"/>
          </w:tcPr>
          <w:p>
            <w:pPr>
              <w:spacing w:after="0"/>
            </w:pPr>
            <w:r>
              <w:rPr>
                <w:rFonts w:ascii="Times New Roman" w:hAnsi="Times New Roman"/>
                <w:sz w:val="17"/>
              </w:rPr>
              <w:t>if raggioSfera &lt; 4.1</w:t>
            </w:r>
          </w:p>
        </w:tc>
      </w:tr>
      <w:tr>
        <w:tc>
          <w:tcPr>
            <w:tcW w:type="dxa" w:w="3360"/>
            <w:vAlign w:val="center"/>
          </w:tcPr>
          <w:p>
            <w:pPr>
              <w:spacing w:after="0"/>
            </w:pPr>
            <w:r>
              <w:rPr>
                <w:rFonts w:ascii="Times New Roman" w:hAnsi="Times New Roman"/>
                <w:sz w:val="17"/>
              </w:rPr>
              <w:t>Nonbonded force scaling during cycle</w:t>
            </w:r>
          </w:p>
        </w:tc>
        <w:tc>
          <w:tcPr>
            <w:tcW w:type="dxa" w:w="3360"/>
            <w:vAlign w:val="center"/>
          </w:tcPr>
          <w:p>
            <w:pPr>
              <w:spacing w:after="0"/>
            </w:pPr>
            <w:r>
              <w:rPr>
                <w:rFonts w:ascii="Times New Roman" w:hAnsi="Times New Roman"/>
                <w:sz w:val="17"/>
              </w:rPr>
              <w:t>1.5</w:t>
            </w:r>
          </w:p>
        </w:tc>
        <w:tc>
          <w:tcPr>
            <w:tcW w:type="dxa" w:w="3360"/>
            <w:vAlign w:val="center"/>
          </w:tcPr>
          <w:p>
            <w:pPr>
              <w:spacing w:after="0"/>
            </w:pPr>
            <w:r>
              <w:rPr>
                <w:rFonts w:ascii="Times New Roman" w:hAnsi="Times New Roman"/>
                <w:sz w:val="17"/>
              </w:rPr>
              <w:t>ScaleForce NonBonded,1.5</w:t>
            </w:r>
          </w:p>
        </w:tc>
      </w:tr>
    </w:tbl>
    <w:p>
      <w:pPr>
        <w:spacing w:before="140" w:after="80"/>
      </w:pPr>
      <w:r>
        <w:rPr>
          <w:rFonts w:ascii="Times New Roman" w:hAnsi="Times New Roman"/>
          <w:b/>
          <w:sz w:val="22"/>
        </w:rPr>
        <w:t>Pseudocode</w:t>
      </w:r>
    </w:p>
    <w:tbl>
      <w:tblPr>
        <w:tblW w:type="auto" w:w="0"/>
        <w:jc w:val="center"/>
        <w:tblLayout w:type="autofit"/>
        <w:tblLook w:firstColumn="1" w:firstRow="1" w:lastColumn="0" w:lastRow="0" w:noHBand="0" w:noVBand="1" w:val="04A0"/>
      </w:tblPr>
      <w:tblGrid>
        <w:gridCol w:w="10080"/>
      </w:tblGrid>
      <w:tr>
        <w:tc>
          <w:tcPr>
            <w:tcW w:type="dxa" w:w="10080"/>
            <w:shd w:fill="F7F7F7"/>
          </w:tcPr>
          <w:p>
            <w:pPr>
              <w:spacing w:after="0" w:line="240" w:lineRule="auto"/>
              <w:ind w:left="0"/>
            </w:pPr>
            <w:r/>
            <w:r>
              <w:rPr>
                <w:rFonts w:ascii="Courier New" w:hAnsi="Courier New"/>
                <w:b/>
                <w:sz w:val="16"/>
              </w:rPr>
              <w:t>ALGORITHM S1  MATISSE volumetric-topology characterization</w:t>
            </w:r>
          </w:p>
          <w:p>
            <w:pPr>
              <w:spacing w:after="0"/>
            </w:pPr>
            <w:r>
              <w:rPr>
                <w:rFonts w:ascii="Courier New" w:hAnsi="Courier New"/>
                <w:sz w:val="8"/>
              </w:rPr>
              <w:t xml:space="preserve"> </w:t>
            </w:r>
          </w:p>
          <w:p>
            <w:pPr>
              <w:spacing w:after="0" w:line="240" w:lineRule="auto"/>
              <w:ind w:left="0"/>
            </w:pPr>
            <w:r>
              <w:rPr>
                <w:rFonts w:ascii="Courier New" w:hAnsi="Courier New"/>
                <w:b/>
                <w:sz w:val="16"/>
              </w:rPr>
              <w:t>INPUT:</w:t>
            </w:r>
          </w:p>
          <w:p>
            <w:pPr>
              <w:spacing w:after="0" w:line="240" w:lineRule="auto"/>
              <w:ind w:left="230"/>
            </w:pPr>
            <w:r>
              <w:rPr>
                <w:rFonts w:ascii="Courier New" w:hAnsi="Courier New"/>
                <w:b w:val="0"/>
                <w:sz w:val="16"/>
              </w:rPr>
              <w:t>protein–ligand structure with protein and ligand separately identifiable</w:t>
            </w:r>
          </w:p>
          <w:p>
            <w:pPr>
              <w:spacing w:after="0" w:line="240" w:lineRule="auto"/>
              <w:ind w:left="230"/>
            </w:pPr>
            <w:r>
              <w:rPr>
                <w:rFonts w:ascii="Courier New" w:hAnsi="Courier New"/>
                <w:b w:val="0"/>
                <w:sz w:val="16"/>
              </w:rPr>
              <w:t>N_cycles = 5</w:t>
            </w:r>
          </w:p>
          <w:p>
            <w:pPr>
              <w:spacing w:after="0" w:line="240" w:lineRule="auto"/>
              <w:ind w:left="230"/>
            </w:pPr>
            <w:r>
              <w:rPr>
                <w:rFonts w:ascii="Courier New" w:hAnsi="Courier New"/>
                <w:b w:val="0"/>
                <w:sz w:val="16"/>
              </w:rPr>
              <w:t>R_cut = 4.1 Å</w:t>
            </w:r>
          </w:p>
          <w:p>
            <w:pPr>
              <w:spacing w:after="0" w:line="240" w:lineRule="auto"/>
              <w:ind w:left="0"/>
            </w:pPr>
            <w:r>
              <w:rPr>
                <w:rFonts w:ascii="Courier New" w:hAnsi="Courier New"/>
                <w:b/>
                <w:sz w:val="16"/>
              </w:rPr>
              <w:t>OUTPUT:</w:t>
            </w:r>
          </w:p>
          <w:p>
            <w:pPr>
              <w:spacing w:after="0" w:line="240" w:lineRule="auto"/>
              <w:ind w:left="230"/>
            </w:pPr>
            <w:r>
              <w:rPr>
                <w:rFonts w:ascii="Courier New" w:hAnsi="Courier New"/>
                <w:b w:val="0"/>
                <w:sz w:val="16"/>
              </w:rPr>
              <w:t>V, stV, V_intersect, stV_intersect</w:t>
            </w:r>
          </w:p>
          <w:p>
            <w:pPr>
              <w:spacing w:after="0"/>
            </w:pPr>
            <w:r>
              <w:rPr>
                <w:rFonts w:ascii="Courier New" w:hAnsi="Courier New"/>
                <w:sz w:val="8"/>
              </w:rPr>
              <w:t xml:space="preserve"> </w:t>
            </w:r>
          </w:p>
          <w:p>
            <w:pPr>
              <w:spacing w:after="0" w:line="240" w:lineRule="auto"/>
              <w:ind w:left="0"/>
            </w:pPr>
            <w:r>
              <w:rPr>
                <w:rFonts w:ascii="Courier New" w:hAnsi="Courier New"/>
                <w:b/>
                <w:sz w:val="16"/>
              </w:rPr>
              <w:t>A. STRUCTURE PREPARATION</w:t>
            </w:r>
          </w:p>
          <w:p>
            <w:pPr>
              <w:spacing w:after="0" w:line="240" w:lineRule="auto"/>
              <w:ind w:left="0"/>
            </w:pPr>
            <w:r>
              <w:rPr>
                <w:rFonts w:ascii="Courier New" w:hAnsi="Courier New"/>
                <w:b w:val="0"/>
                <w:sz w:val="16"/>
              </w:rPr>
              <w:t>1. Load the protein–ligand structure.</w:t>
            </w:r>
          </w:p>
          <w:p>
            <w:pPr>
              <w:spacing w:after="0" w:line="240" w:lineRule="auto"/>
              <w:ind w:left="0"/>
            </w:pPr>
            <w:r>
              <w:rPr>
                <w:rFonts w:ascii="Courier New" w:hAnsi="Courier New"/>
                <w:b w:val="0"/>
                <w:sz w:val="16"/>
              </w:rPr>
              <w:t>2. Remove residues named DOD.</w:t>
            </w:r>
          </w:p>
          <w:p>
            <w:pPr>
              <w:spacing w:after="0" w:line="240" w:lineRule="auto"/>
              <w:ind w:left="0"/>
            </w:pPr>
            <w:r>
              <w:rPr>
                <w:rFonts w:ascii="Courier New" w:hAnsi="Courier New"/>
                <w:b w:val="0"/>
                <w:sz w:val="16"/>
              </w:rPr>
              <w:t>3. Verify that a ligand object is present and contains more than five atoms.</w:t>
            </w:r>
          </w:p>
          <w:p>
            <w:pPr>
              <w:spacing w:after="0" w:line="240" w:lineRule="auto"/>
              <w:ind w:left="0"/>
            </w:pPr>
            <w:r>
              <w:rPr>
                <w:rFonts w:ascii="Courier New" w:hAnsi="Courier New"/>
                <w:b w:val="0"/>
                <w:sz w:val="16"/>
              </w:rPr>
              <w:t>4. Perform the structure-cleaning operation used for the production calculation.</w:t>
            </w:r>
          </w:p>
          <w:p>
            <w:pPr>
              <w:spacing w:after="0" w:line="240" w:lineRule="auto"/>
              <w:ind w:left="0"/>
            </w:pPr>
            <w:r>
              <w:rPr>
                <w:rFonts w:ascii="Courier New" w:hAnsi="Courier New"/>
                <w:b w:val="0"/>
                <w:sz w:val="16"/>
              </w:rPr>
              <w:t>5. Create an automatic cuboid simulation cell extending 1 Å beyond the system.</w:t>
            </w:r>
          </w:p>
          <w:p>
            <w:pPr>
              <w:spacing w:after="0"/>
            </w:pPr>
            <w:r>
              <w:rPr>
                <w:rFonts w:ascii="Courier New" w:hAnsi="Courier New"/>
                <w:sz w:val="8"/>
              </w:rPr>
              <w:t xml:space="preserve"> </w:t>
            </w:r>
          </w:p>
          <w:p>
            <w:pPr>
              <w:spacing w:after="0" w:line="240" w:lineRule="auto"/>
              <w:ind w:left="0"/>
            </w:pPr>
            <w:r>
              <w:rPr>
                <w:rFonts w:ascii="Courier New" w:hAnsi="Courier New"/>
                <w:b/>
                <w:sz w:val="16"/>
              </w:rPr>
              <w:t>B. FIRST HYDRATION AND SOLVENT RELAXATION</w:t>
            </w:r>
          </w:p>
          <w:p>
            <w:pPr>
              <w:spacing w:after="0" w:line="240" w:lineRule="auto"/>
              <w:ind w:left="0"/>
            </w:pPr>
            <w:r>
              <w:rPr>
                <w:rFonts w:ascii="Courier New" w:hAnsi="Courier New"/>
                <w:b w:val="0"/>
                <w:sz w:val="16"/>
              </w:rPr>
              <w:t>6. Fill the cell with explicit water at density 0.997 g cm^-3 using a 1.4 Å probe.</w:t>
            </w:r>
          </w:p>
          <w:p>
            <w:pPr>
              <w:spacing w:after="0" w:line="240" w:lineRule="auto"/>
              <w:ind w:left="0"/>
            </w:pPr>
            <w:r>
              <w:rPr>
                <w:rFonts w:ascii="Courier New" w:hAnsi="Courier New"/>
                <w:b w:val="0"/>
                <w:sz w:val="16"/>
              </w:rPr>
              <w:t>7. Hold the protein and ligand objects fixed.</w:t>
            </w:r>
          </w:p>
          <w:p>
            <w:pPr>
              <w:spacing w:after="0" w:line="240" w:lineRule="auto"/>
              <w:ind w:left="0"/>
            </w:pPr>
            <w:r>
              <w:rPr>
                <w:rFonts w:ascii="Courier New" w:hAnsi="Courier New"/>
                <w:b w:val="0"/>
                <w:sz w:val="16"/>
              </w:rPr>
              <w:t>8. Use AMBER03 parameters, a 10.5 Å cutoff, and no long-range correction.</w:t>
            </w:r>
          </w:p>
          <w:p>
            <w:pPr>
              <w:spacing w:after="0" w:line="240" w:lineRule="auto"/>
              <w:ind w:left="0"/>
            </w:pPr>
            <w:r>
              <w:rPr>
                <w:rFonts w:ascii="Courier New" w:hAnsi="Courier New"/>
                <w:b w:val="0"/>
                <w:sz w:val="16"/>
              </w:rPr>
              <w:t>9. Enable bond, angle, dihedral, planarity, Coulomb, and van der Waals interactions.</w:t>
            </w:r>
          </w:p>
          <w:p>
            <w:pPr>
              <w:spacing w:after="0" w:line="240" w:lineRule="auto"/>
              <w:ind w:left="0"/>
            </w:pPr>
            <w:r>
              <w:rPr>
                <w:rFonts w:ascii="Courier New" w:hAnsi="Courier New"/>
                <w:b w:val="0"/>
                <w:sz w:val="16"/>
              </w:rPr>
              <w:t>10. Apply the macro's steepest-descent solvent-relaxation stage.</w:t>
            </w:r>
          </w:p>
          <w:p>
            <w:pPr>
              <w:spacing w:after="0"/>
            </w:pPr>
            <w:r>
              <w:rPr>
                <w:rFonts w:ascii="Courier New" w:hAnsi="Courier New"/>
                <w:sz w:val="8"/>
              </w:rPr>
              <w:t xml:space="preserve"> </w:t>
            </w:r>
          </w:p>
          <w:p>
            <w:pPr>
              <w:spacing w:after="0" w:line="240" w:lineRule="auto"/>
              <w:ind w:left="0"/>
            </w:pPr>
            <w:r>
              <w:rPr>
                <w:rFonts w:ascii="Courier New" w:hAnsi="Courier New"/>
                <w:b/>
                <w:sz w:val="16"/>
              </w:rPr>
              <w:t>C. LIGAND REMOVAL AND SECOND HYDRATION</w:t>
            </w:r>
          </w:p>
          <w:p>
            <w:pPr>
              <w:spacing w:after="0" w:line="240" w:lineRule="auto"/>
              <w:ind w:left="0"/>
            </w:pPr>
            <w:r>
              <w:rPr>
                <w:rFonts w:ascii="Courier New" w:hAnsi="Courier New"/>
                <w:b w:val="0"/>
                <w:sz w:val="16"/>
              </w:rPr>
              <w:t>11. Remove the ligand from the hydrated complex.</w:t>
            </w:r>
          </w:p>
          <w:p>
            <w:pPr>
              <w:spacing w:after="0" w:line="240" w:lineRule="auto"/>
              <w:ind w:left="0"/>
            </w:pPr>
            <w:r>
              <w:rPr>
                <w:rFonts w:ascii="Courier New" w:hAnsi="Courier New"/>
                <w:b w:val="0"/>
                <w:sz w:val="16"/>
              </w:rPr>
              <w:t>12. Refill the same simulation cell with water using the same density and probe settings.</w:t>
            </w:r>
          </w:p>
          <w:p>
            <w:pPr>
              <w:spacing w:after="0" w:line="240" w:lineRule="auto"/>
              <w:ind w:left="0"/>
            </w:pPr>
            <w:r>
              <w:rPr>
                <w:rFonts w:ascii="Courier New" w:hAnsi="Courier New"/>
                <w:b w:val="0"/>
                <w:sz w:val="16"/>
              </w:rPr>
              <w:t>13. Identify the water population introduced by this second fill.</w:t>
            </w:r>
          </w:p>
          <w:p>
            <w:pPr>
              <w:spacing w:after="0" w:line="240" w:lineRule="auto"/>
              <w:ind w:left="0"/>
            </w:pPr>
            <w:r>
              <w:rPr>
                <w:rFonts w:ascii="Courier New" w:hAnsi="Courier New"/>
                <w:b w:val="0"/>
                <w:sz w:val="16"/>
              </w:rPr>
              <w:t>14. Let W = {O_1, O_2, ..., O_N} be the oxygen atoms of this second-fill water population.</w:t>
            </w:r>
          </w:p>
          <w:p>
            <w:pPr>
              <w:spacing w:after="0"/>
            </w:pPr>
            <w:r>
              <w:rPr>
                <w:rFonts w:ascii="Courier New" w:hAnsi="Courier New"/>
                <w:sz w:val="8"/>
              </w:rPr>
              <w:t xml:space="preserve"> </w:t>
            </w:r>
          </w:p>
          <w:p>
            <w:pPr>
              <w:spacing w:after="0" w:line="240" w:lineRule="auto"/>
              <w:ind w:left="0"/>
            </w:pPr>
            <w:r>
              <w:rPr>
                <w:rFonts w:ascii="Courier New" w:hAnsi="Courier New"/>
                <w:b/>
                <w:sz w:val="16"/>
              </w:rPr>
              <w:t>D. INITIAL WATER–WATER DISTANCE MATRIX (AS IMPLEMENTED IN THE MACRO)</w:t>
            </w:r>
          </w:p>
          <w:p>
            <w:pPr>
              <w:spacing w:after="0" w:line="240" w:lineRule="auto"/>
              <w:ind w:left="0"/>
            </w:pPr>
            <w:r>
              <w:rPr>
                <w:rFonts w:ascii="Courier New" w:hAnsi="Courier New"/>
                <w:b w:val="0"/>
                <w:sz w:val="16"/>
              </w:rPr>
              <w:t>15. For every ordered pair (O_i, O_j) in W:</w:t>
            </w:r>
          </w:p>
          <w:p>
            <w:pPr>
              <w:spacing w:after="0" w:line="240" w:lineRule="auto"/>
              <w:ind w:left="230"/>
            </w:pPr>
            <w:r>
              <w:rPr>
                <w:rFonts w:ascii="Courier New" w:hAnsi="Courier New"/>
                <w:b w:val="0"/>
                <w:sz w:val="16"/>
              </w:rPr>
              <w:t>D_OO[i,j] = EuclideanDistance(O_i, O_j)</w:t>
            </w:r>
          </w:p>
          <w:p>
            <w:pPr>
              <w:spacing w:after="0" w:line="240" w:lineRule="auto"/>
              <w:ind w:left="0"/>
            </w:pPr>
            <w:r>
              <w:rPr>
                <w:rFonts w:ascii="Courier New" w:hAnsi="Courier New"/>
                <w:b w:val="0"/>
                <w:sz w:val="16"/>
              </w:rPr>
              <w:t>16. Store D_OO before the five measurement cycles.</w:t>
            </w:r>
          </w:p>
          <w:p>
            <w:pPr>
              <w:spacing w:after="0"/>
            </w:pPr>
            <w:r>
              <w:rPr>
                <w:rFonts w:ascii="Courier New" w:hAnsi="Courier New"/>
                <w:sz w:val="8"/>
              </w:rPr>
              <w:t xml:space="preserve"> </w:t>
            </w:r>
          </w:p>
          <w:p>
            <w:pPr>
              <w:spacing w:after="0" w:line="240" w:lineRule="auto"/>
              <w:ind w:left="0"/>
            </w:pPr>
            <w:r>
              <w:rPr>
                <w:rFonts w:ascii="Courier New" w:hAnsi="Courier New"/>
                <w:b/>
                <w:sz w:val="16"/>
              </w:rPr>
              <w:t>E. FIVE ANNEALING / MEASUREMENT CYCLES</w:t>
            </w:r>
          </w:p>
          <w:p>
            <w:pPr>
              <w:spacing w:after="0" w:line="240" w:lineRule="auto"/>
              <w:ind w:left="0"/>
            </w:pPr>
            <w:r>
              <w:rPr>
                <w:rFonts w:ascii="Courier New" w:hAnsi="Courier New"/>
                <w:b w:val="0"/>
                <w:sz w:val="16"/>
              </w:rPr>
              <w:t>17. FOR cycle = 1 TO N_cycles:</w:t>
            </w:r>
          </w:p>
          <w:p>
            <w:pPr>
              <w:spacing w:after="0" w:line="240" w:lineRule="auto"/>
              <w:ind w:left="230"/>
            </w:pPr>
            <w:r>
              <w:rPr>
                <w:rFonts w:ascii="Courier New" w:hAnsi="Courier New"/>
                <w:b w:val="0"/>
                <w:sz w:val="16"/>
              </w:rPr>
              <w:t>17.1 Set temperature control to annealing.</w:t>
            </w:r>
          </w:p>
          <w:p>
            <w:pPr>
              <w:spacing w:after="0" w:line="240" w:lineRule="auto"/>
              <w:ind w:left="230"/>
            </w:pPr>
            <w:r>
              <w:rPr>
                <w:rFonts w:ascii="Courier New" w:hAnsi="Courier New"/>
                <w:b w:val="0"/>
                <w:sz w:val="16"/>
              </w:rPr>
              <w:t>17.2 Scale nonbonded forces by 1.5.</w:t>
            </w:r>
          </w:p>
          <w:p>
            <w:pPr>
              <w:spacing w:after="0" w:line="240" w:lineRule="auto"/>
              <w:ind w:left="230"/>
            </w:pPr>
            <w:r>
              <w:rPr>
                <w:rFonts w:ascii="Courier New" w:hAnsi="Courier New"/>
                <w:b w:val="0"/>
                <w:sz w:val="16"/>
              </w:rPr>
              <w:t>17.3 Continue the simulation for the waiting interval defined by the production setup.</w:t>
            </w:r>
          </w:p>
          <w:p>
            <w:pPr>
              <w:spacing w:after="0" w:line="240" w:lineRule="auto"/>
              <w:ind w:left="230"/>
            </w:pPr>
            <w:r>
              <w:rPr>
                <w:rFonts w:ascii="Courier New" w:hAnsi="Courier New"/>
                <w:b w:val="0"/>
                <w:sz w:val="16"/>
              </w:rPr>
              <w:t>17.4 Pause the simulation before geometric measurements.</w:t>
            </w:r>
          </w:p>
          <w:p>
            <w:pPr>
              <w:spacing w:after="0" w:line="240" w:lineRule="auto"/>
              <w:ind w:left="230"/>
            </w:pPr>
            <w:r>
              <w:rPr>
                <w:rFonts w:ascii="Courier New" w:hAnsi="Courier New"/>
                <w:b w:val="0"/>
                <w:sz w:val="16"/>
              </w:rPr>
              <w:t>17.5 Set V_cycle = 0 and retained_spheres = empty.</w:t>
            </w:r>
          </w:p>
          <w:p>
            <w:pPr>
              <w:spacing w:after="0"/>
            </w:pPr>
            <w:r>
              <w:rPr>
                <w:rFonts w:ascii="Courier New" w:hAnsi="Courier New"/>
                <w:sz w:val="8"/>
              </w:rPr>
              <w:t xml:space="preserve"> </w:t>
            </w:r>
          </w:p>
          <w:p>
            <w:pPr>
              <w:spacing w:after="0" w:line="240" w:lineRule="auto"/>
              <w:ind w:left="230"/>
            </w:pPr>
            <w:r>
              <w:rPr>
                <w:rFonts w:ascii="Courier New" w:hAnsi="Courier New"/>
                <w:b w:val="0"/>
                <w:sz w:val="16"/>
              </w:rPr>
              <w:t>17.6 FOR each oxygen O_i in W:</w:t>
            </w:r>
          </w:p>
          <w:p>
            <w:pPr>
              <w:spacing w:after="0" w:line="240" w:lineRule="auto"/>
              <w:ind w:left="461"/>
            </w:pPr>
            <w:r>
              <w:rPr>
                <w:rFonts w:ascii="Courier New" w:hAnsi="Courier New"/>
                <w:b w:val="0"/>
                <w:sz w:val="16"/>
              </w:rPr>
              <w:t>P_i = nearest protein atom to O_i</w:t>
            </w:r>
          </w:p>
          <w:p>
            <w:pPr>
              <w:spacing w:after="0" w:line="240" w:lineRule="auto"/>
              <w:ind w:left="461"/>
            </w:pPr>
            <w:r>
              <w:rPr>
                <w:rFonts w:ascii="Courier New" w:hAnsi="Courier New"/>
                <w:b w:val="0"/>
                <w:sz w:val="16"/>
              </w:rPr>
              <w:t>r_i = EuclideanDistance(O_i, P_i)</w:t>
            </w:r>
          </w:p>
          <w:p>
            <w:pPr>
              <w:spacing w:after="0" w:line="240" w:lineRule="auto"/>
              <w:ind w:left="461"/>
            </w:pPr>
            <w:r>
              <w:rPr>
                <w:rFonts w:ascii="Courier New" w:hAnsi="Courier New"/>
                <w:b w:val="0"/>
                <w:sz w:val="16"/>
              </w:rPr>
              <w:t>IF r_i &lt; R_cut:</w:t>
            </w:r>
          </w:p>
          <w:p>
            <w:pPr>
              <w:spacing w:after="0" w:line="240" w:lineRule="auto"/>
              <w:ind w:left="691"/>
            </w:pPr>
            <w:r>
              <w:rPr>
                <w:rFonts w:ascii="Courier New" w:hAnsi="Courier New"/>
                <w:b w:val="0"/>
                <w:sz w:val="16"/>
              </w:rPr>
              <w:t>v_i = (4/3) * pi * r_i^3</w:t>
            </w:r>
          </w:p>
          <w:p>
            <w:pPr>
              <w:spacing w:after="0" w:line="240" w:lineRule="auto"/>
              <w:ind w:left="691"/>
            </w:pPr>
            <w:r>
              <w:rPr>
                <w:rFonts w:ascii="Courier New" w:hAnsi="Courier New"/>
                <w:b w:val="0"/>
                <w:sz w:val="16"/>
              </w:rPr>
              <w:t>store sphere S_i = (water identity O_i, center O_i, radius r_i, volume v_i)</w:t>
            </w:r>
          </w:p>
          <w:p>
            <w:pPr>
              <w:spacing w:after="0" w:line="240" w:lineRule="auto"/>
              <w:ind w:left="691"/>
            </w:pPr>
            <w:r>
              <w:rPr>
                <w:rFonts w:ascii="Courier New" w:hAnsi="Courier New"/>
                <w:b w:val="0"/>
                <w:sz w:val="16"/>
              </w:rPr>
              <w:t>V_cycle = V_cycle + v_i</w:t>
            </w:r>
          </w:p>
          <w:p>
            <w:pPr>
              <w:spacing w:after="0"/>
            </w:pPr>
            <w:r>
              <w:rPr>
                <w:rFonts w:ascii="Courier New" w:hAnsi="Courier New"/>
                <w:sz w:val="8"/>
              </w:rPr>
              <w:t xml:space="preserve"> </w:t>
            </w:r>
          </w:p>
          <w:p>
            <w:pPr>
              <w:spacing w:after="0" w:line="240" w:lineRule="auto"/>
              <w:ind w:left="230"/>
            </w:pPr>
            <w:r>
              <w:rPr>
                <w:rFonts w:ascii="Courier New" w:hAnsi="Courier New"/>
                <w:b w:val="0"/>
                <w:sz w:val="16"/>
              </w:rPr>
              <w:t>17.7 Set V_intersect_cycle_raw = 0.</w:t>
            </w:r>
          </w:p>
          <w:p>
            <w:pPr>
              <w:spacing w:after="0" w:line="240" w:lineRule="auto"/>
              <w:ind w:left="230"/>
            </w:pPr>
            <w:r>
              <w:rPr>
                <w:rFonts w:ascii="Courier New" w:hAnsi="Courier New"/>
                <w:b w:val="0"/>
                <w:sz w:val="16"/>
              </w:rPr>
              <w:t>17.8 FOR every ordered pair of stored radius entries (a,b):</w:t>
            </w:r>
          </w:p>
          <w:p>
            <w:pPr>
              <w:spacing w:after="0" w:line="240" w:lineRule="auto"/>
              <w:ind w:left="461"/>
            </w:pPr>
            <w:r>
              <w:rPr>
                <w:rFonts w:ascii="Courier New" w:hAnsi="Courier New"/>
                <w:b w:val="0"/>
                <w:sz w:val="16"/>
              </w:rPr>
              <w:t>r_a = stored radius for entry a</w:t>
            </w:r>
          </w:p>
          <w:p>
            <w:pPr>
              <w:spacing w:after="0" w:line="240" w:lineRule="auto"/>
              <w:ind w:left="461"/>
            </w:pPr>
            <w:r>
              <w:rPr>
                <w:rFonts w:ascii="Courier New" w:hAnsi="Courier New"/>
                <w:b w:val="0"/>
                <w:sz w:val="16"/>
              </w:rPr>
              <w:t>r_b = stored radius for entry b</w:t>
            </w:r>
          </w:p>
          <w:p>
            <w:pPr>
              <w:spacing w:after="0" w:line="240" w:lineRule="auto"/>
              <w:ind w:left="461"/>
            </w:pPr>
            <w:r>
              <w:rPr>
                <w:rFonts w:ascii="Courier New" w:hAnsi="Courier New"/>
                <w:b w:val="0"/>
                <w:sz w:val="16"/>
              </w:rPr>
              <w:t>d_ab = D_OO[a,b]   # pre-cycle matrix in the original macro</w:t>
            </w:r>
          </w:p>
          <w:p>
            <w:pPr>
              <w:spacing w:after="0" w:line="240" w:lineRule="auto"/>
              <w:ind w:left="461"/>
            </w:pPr>
            <w:r>
              <w:rPr>
                <w:rFonts w:ascii="Courier New" w:hAnsi="Courier New"/>
                <w:b w:val="0"/>
                <w:sz w:val="16"/>
              </w:rPr>
              <w:t>IF d_ab &lt; (r_a + r_b) AND d_ab != 0:</w:t>
            </w:r>
          </w:p>
          <w:p>
            <w:pPr>
              <w:spacing w:after="0" w:line="240" w:lineRule="auto"/>
              <w:ind w:left="691"/>
            </w:pPr>
            <w:r>
              <w:rPr>
                <w:rFonts w:ascii="Courier New" w:hAnsi="Courier New"/>
                <w:b w:val="0"/>
                <w:sz w:val="16"/>
              </w:rPr>
              <w:t>V_ab = pi*(r_a+r_b-d_ab)^2 *</w:t>
            </w:r>
          </w:p>
          <w:p>
            <w:pPr>
              <w:spacing w:after="0" w:line="240" w:lineRule="auto"/>
              <w:ind w:left="922"/>
            </w:pPr>
            <w:r>
              <w:rPr>
                <w:rFonts w:ascii="Courier New" w:hAnsi="Courier New"/>
                <w:b w:val="0"/>
                <w:sz w:val="16"/>
              </w:rPr>
              <w:t>[d_ab^2 + 2*d_ab*r_a + 2*d_ab*r_b - 3*r_a^2 - 3*r_b^2 + 6*r_a*r_b]</w:t>
            </w:r>
          </w:p>
          <w:p>
            <w:pPr>
              <w:spacing w:after="0" w:line="240" w:lineRule="auto"/>
              <w:ind w:left="922"/>
            </w:pPr>
            <w:r>
              <w:rPr>
                <w:rFonts w:ascii="Courier New" w:hAnsi="Courier New"/>
                <w:b w:val="0"/>
                <w:sz w:val="16"/>
              </w:rPr>
              <w:t>/ (12*d_ab)</w:t>
            </w:r>
          </w:p>
          <w:p>
            <w:pPr>
              <w:spacing w:after="0" w:line="240" w:lineRule="auto"/>
              <w:ind w:left="691"/>
            </w:pPr>
            <w:r>
              <w:rPr>
                <w:rFonts w:ascii="Courier New" w:hAnsi="Courier New"/>
                <w:b w:val="0"/>
                <w:sz w:val="16"/>
              </w:rPr>
              <w:t>V_intersect_cycle_raw = V_intersect_cycle_raw + V_ab</w:t>
            </w:r>
          </w:p>
          <w:p>
            <w:pPr>
              <w:spacing w:after="0" w:line="240" w:lineRule="auto"/>
              <w:ind w:left="230"/>
            </w:pPr>
            <w:r>
              <w:rPr>
                <w:rFonts w:ascii="Courier New" w:hAnsi="Courier New"/>
                <w:b w:val="0"/>
                <w:sz w:val="16"/>
              </w:rPr>
              <w:t>17.9 V_intersect_cycle = V_intersect_cycle_raw / 2</w:t>
            </w:r>
          </w:p>
          <w:p>
            <w:pPr>
              <w:spacing w:after="0" w:line="240" w:lineRule="auto"/>
              <w:ind w:left="461"/>
            </w:pPr>
            <w:r>
              <w:rPr>
                <w:rFonts w:ascii="Courier New" w:hAnsi="Courier New"/>
                <w:b w:val="0"/>
                <w:sz w:val="16"/>
              </w:rPr>
              <w:t># division by 2 removes double counting of (a,b) and (b,a)</w:t>
            </w:r>
          </w:p>
          <w:p>
            <w:pPr>
              <w:spacing w:after="0" w:line="240" w:lineRule="auto"/>
              <w:ind w:left="230"/>
            </w:pPr>
            <w:r>
              <w:rPr>
                <w:rFonts w:ascii="Courier New" w:hAnsi="Courier New"/>
                <w:b w:val="0"/>
                <w:sz w:val="16"/>
              </w:rPr>
              <w:t>17.10 Store V_cycle and V_intersect_cycle.</w:t>
            </w:r>
          </w:p>
          <w:p>
            <w:pPr>
              <w:spacing w:after="0"/>
            </w:pPr>
            <w:r>
              <w:rPr>
                <w:rFonts w:ascii="Courier New" w:hAnsi="Courier New"/>
                <w:sz w:val="8"/>
              </w:rPr>
              <w:t xml:space="preserve"> </w:t>
            </w:r>
          </w:p>
          <w:p>
            <w:pPr>
              <w:spacing w:after="0" w:line="240" w:lineRule="auto"/>
              <w:ind w:left="0"/>
            </w:pPr>
            <w:r>
              <w:rPr>
                <w:rFonts w:ascii="Courier New" w:hAnsi="Courier New"/>
                <w:b/>
                <w:sz w:val="16"/>
              </w:rPr>
              <w:t>F. FINAL DESCRIPTORS</w:t>
            </w:r>
          </w:p>
          <w:p>
            <w:pPr>
              <w:spacing w:after="0" w:line="240" w:lineRule="auto"/>
              <w:ind w:left="0"/>
            </w:pPr>
            <w:r>
              <w:rPr>
                <w:rFonts w:ascii="Courier New" w:hAnsi="Courier New"/>
                <w:b w:val="0"/>
                <w:sz w:val="16"/>
              </w:rPr>
              <w:t>18. V = mean(V_cycle over the five cycles)</w:t>
            </w:r>
          </w:p>
          <w:p>
            <w:pPr>
              <w:spacing w:after="0" w:line="240" w:lineRule="auto"/>
              <w:ind w:left="0"/>
            </w:pPr>
            <w:r>
              <w:rPr>
                <w:rFonts w:ascii="Courier New" w:hAnsi="Courier New"/>
                <w:b w:val="0"/>
                <w:sz w:val="16"/>
              </w:rPr>
              <w:t>19. stV = standard_deviation(V_cycle over the five cycles)</w:t>
            </w:r>
          </w:p>
          <w:p>
            <w:pPr>
              <w:spacing w:after="0" w:line="240" w:lineRule="auto"/>
              <w:ind w:left="0"/>
            </w:pPr>
            <w:r>
              <w:rPr>
                <w:rFonts w:ascii="Courier New" w:hAnsi="Courier New"/>
                <w:b w:val="0"/>
                <w:sz w:val="16"/>
              </w:rPr>
              <w:t>20. V_intersect = mean(V_intersect_cycle over the five cycles)</w:t>
            </w:r>
          </w:p>
          <w:p>
            <w:pPr>
              <w:spacing w:after="0" w:line="240" w:lineRule="auto"/>
              <w:ind w:left="0"/>
            </w:pPr>
            <w:r>
              <w:rPr>
                <w:rFonts w:ascii="Courier New" w:hAnsi="Courier New"/>
                <w:b w:val="0"/>
                <w:sz w:val="16"/>
              </w:rPr>
              <w:t>21. stV_intersect = standard_deviation(V_intersect_cycle over the five cycles)</w:t>
            </w:r>
          </w:p>
          <w:p>
            <w:pPr>
              <w:spacing w:after="0" w:line="240" w:lineRule="auto"/>
              <w:ind w:left="0"/>
            </w:pPr>
            <w:r>
              <w:rPr>
                <w:rFonts w:ascii="Courier New" w:hAnsi="Courier New"/>
                <w:b w:val="0"/>
                <w:sz w:val="16"/>
              </w:rPr>
              <w:t>22. Return V, stV, V_intersect, stV_intersect.</w:t>
            </w:r>
          </w:p>
        </w:tc>
      </w:tr>
    </w:tbl>
    <w:p>
      <w:pPr>
        <w:spacing w:before="140" w:after="80"/>
      </w:pPr>
      <w:r>
        <w:rPr>
          <w:rFonts w:ascii="Times New Roman" w:hAnsi="Times New Roman"/>
          <w:b/>
          <w:sz w:val="22"/>
        </w:rPr>
        <w:t>Mathematical definitions used by the macro</w:t>
      </w:r>
    </w:p>
    <w:p>
      <w:pPr>
        <w:spacing w:after="40"/>
      </w:pPr>
      <w:r>
        <w:rPr>
          <w:rFonts w:ascii="Times New Roman" w:hAnsi="Times New Roman"/>
          <w:b/>
          <w:sz w:val="21"/>
        </w:rPr>
        <w:t xml:space="preserve">Sphere radius: </w:t>
      </w:r>
      <w:r>
        <w:rPr>
          <w:rFonts w:ascii="Cambria Math" w:hAnsi="Cambria Math"/>
          <w:sz w:val="20"/>
        </w:rPr>
        <w:t>r_i = min_j ||O_i - P_j||</w:t>
      </w:r>
    </w:p>
    <w:p>
      <w:pPr>
        <w:spacing w:after="40"/>
      </w:pPr>
      <w:r>
        <w:rPr>
          <w:rFonts w:ascii="Times New Roman" w:hAnsi="Times New Roman"/>
          <w:b/>
          <w:sz w:val="21"/>
        </w:rPr>
        <w:t xml:space="preserve">Individual sphere volume: </w:t>
      </w:r>
      <w:r>
        <w:rPr>
          <w:rFonts w:ascii="Cambria Math" w:hAnsi="Cambria Math"/>
          <w:sz w:val="20"/>
        </w:rPr>
        <w:t>v_i = (4/3)πr_i³</w:t>
      </w:r>
    </w:p>
    <w:p>
      <w:pPr>
        <w:spacing w:after="40"/>
      </w:pPr>
      <w:r>
        <w:rPr>
          <w:rFonts w:ascii="Times New Roman" w:hAnsi="Times New Roman"/>
          <w:b/>
          <w:sz w:val="21"/>
        </w:rPr>
        <w:t xml:space="preserve">Cycle total sphere volume: </w:t>
      </w:r>
      <w:r>
        <w:rPr>
          <w:rFonts w:ascii="Cambria Math" w:hAnsi="Cambria Math"/>
          <w:sz w:val="20"/>
        </w:rPr>
        <w:t>V_cycle = Σ_i v_i</w:t>
      </w:r>
    </w:p>
    <w:p>
      <w:pPr>
        <w:spacing w:after="40"/>
      </w:pPr>
      <w:r>
        <w:rPr>
          <w:rFonts w:ascii="Times New Roman" w:hAnsi="Times New Roman"/>
          <w:b/>
          <w:sz w:val="21"/>
        </w:rPr>
        <w:t xml:space="preserve">Two-sphere intersection volume: </w:t>
      </w:r>
      <w:r>
        <w:rPr>
          <w:rFonts w:ascii="Cambria Math" w:hAnsi="Cambria Math"/>
          <w:sz w:val="20"/>
        </w:rPr>
        <w:t>V_ij = π(r_i+r_j-d_ij)²[d_ij²+2d_ijr_i+2d_ijr_j-3r_i²-3r_j²+6r_ir_j] / (12d_ij)</w:t>
      </w:r>
    </w:p>
    <w:p>
      <w:pPr>
        <w:spacing w:after="40"/>
      </w:pPr>
      <w:r>
        <w:rPr>
          <w:rFonts w:ascii="Times New Roman" w:hAnsi="Times New Roman"/>
          <w:b/>
          <w:sz w:val="21"/>
        </w:rPr>
        <w:t xml:space="preserve">Cycle pairwise-intersection sum: </w:t>
      </w:r>
      <w:r>
        <w:rPr>
          <w:rFonts w:ascii="Cambria Math" w:hAnsi="Cambria Math"/>
          <w:sz w:val="20"/>
        </w:rPr>
        <w:t>V_intersect,cycle = Σ_{i&lt;j} V_ij</w:t>
      </w:r>
    </w:p>
    <w:p>
      <w:pPr>
        <w:spacing w:after="100" w:line="240" w:lineRule="auto"/>
      </w:pPr>
      <w:r>
        <w:rPr>
          <w:rFonts w:ascii="Times New Roman" w:hAnsi="Times New Roman"/>
          <w:b/>
          <w:sz w:val="21"/>
        </w:rPr>
        <w:t xml:space="preserve">Downstream descriptor used in the manuscript. </w:t>
      </w:r>
      <w:r>
        <w:rPr>
          <w:rFonts w:ascii="Times New Roman" w:hAnsi="Times New Roman"/>
          <w:sz w:val="21"/>
        </w:rPr>
        <w:t xml:space="preserve">The uploaded macro returns V, stV, V_intersect, and stV_intersect. If the manuscript defines the effective-volume descriptor as </w:t>
      </w:r>
      <w:r>
        <w:rPr>
          <w:rFonts w:ascii="Cambria Math" w:hAnsi="Cambria Math"/>
          <w:i/>
          <w:sz w:val="20"/>
        </w:rPr>
        <w:t>V_e = V - V_intersect</w:t>
      </w:r>
      <w:r>
        <w:rPr>
          <w:rFonts w:ascii="Times New Roman" w:hAnsi="Times New Roman"/>
          <w:sz w:val="21"/>
        </w:rPr>
        <w:t>, this calculation is downstream of the macro and should be documented as such.</w:t>
      </w:r>
    </w:p>
    <w:p>
      <w:pPr>
        <w:spacing w:before="140" w:after="80"/>
      </w:pPr>
      <w:r>
        <w:rPr>
          <w:rFonts w:ascii="Times New Roman" w:hAnsi="Times New Roman"/>
          <w:b/>
          <w:sz w:val="22"/>
        </w:rPr>
        <w:t>Non-proprietary Python reimplementation: suggested component mapping</w:t>
      </w:r>
    </w:p>
    <w:p>
      <w:pPr>
        <w:spacing w:after="60" w:line="240" w:lineRule="auto"/>
      </w:pPr>
      <w:r>
        <w:rPr>
          <w:rFonts w:ascii="Times New Roman" w:hAnsi="Times New Roman"/>
          <w:sz w:val="21"/>
        </w:rPr>
        <w:t>The pseudocode is intentionally software-independent. A researcher could implement the same algorithmic operations using freely available Python packages. The package names below are examples, not requirements and do not imply that they were used to generate the reported MATISSE data.</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7E6E6"/>
          </w:tcPr>
          <w:p>
            <w:r>
              <w:rPr>
                <w:rFonts w:ascii="Times New Roman" w:hAnsi="Times New Roman"/>
                <w:b/>
                <w:sz w:val="18"/>
              </w:rPr>
              <w:t>Operation</w:t>
            </w:r>
          </w:p>
        </w:tc>
        <w:tc>
          <w:tcPr>
            <w:tcW w:type="dxa" w:w="3360"/>
            <w:shd w:fill="E7E6E6"/>
          </w:tcPr>
          <w:p>
            <w:r>
              <w:rPr>
                <w:rFonts w:ascii="Times New Roman" w:hAnsi="Times New Roman"/>
                <w:b/>
                <w:sz w:val="18"/>
              </w:rPr>
              <w:t>Example free Python tool</w:t>
            </w:r>
          </w:p>
        </w:tc>
        <w:tc>
          <w:tcPr>
            <w:tcW w:type="dxa" w:w="3360"/>
            <w:shd w:fill="E7E6E6"/>
          </w:tcPr>
          <w:p>
            <w:r>
              <w:rPr>
                <w:rFonts w:ascii="Times New Roman" w:hAnsi="Times New Roman"/>
                <w:b/>
                <w:sz w:val="18"/>
              </w:rPr>
              <w:t>Implementation requirement</w:t>
            </w:r>
          </w:p>
        </w:tc>
      </w:tr>
      <w:tr>
        <w:tc>
          <w:tcPr>
            <w:tcW w:type="dxa" w:w="3360"/>
          </w:tcPr>
          <w:p>
            <w:pPr>
              <w:spacing w:after="0"/>
            </w:pPr>
            <w:r>
              <w:rPr>
                <w:rFonts w:ascii="Times New Roman" w:hAnsi="Times New Roman"/>
                <w:sz w:val="17"/>
              </w:rPr>
              <w:t>Structure parsing and atom/residue selections</w:t>
            </w:r>
          </w:p>
        </w:tc>
        <w:tc>
          <w:tcPr>
            <w:tcW w:type="dxa" w:w="3360"/>
          </w:tcPr>
          <w:p>
            <w:pPr>
              <w:spacing w:after="0"/>
            </w:pPr>
            <w:r>
              <w:rPr>
                <w:rFonts w:ascii="Times New Roman" w:hAnsi="Times New Roman"/>
                <w:sz w:val="17"/>
              </w:rPr>
              <w:t>MDAnalysis or BioPython</w:t>
            </w:r>
          </w:p>
        </w:tc>
        <w:tc>
          <w:tcPr>
            <w:tcW w:type="dxa" w:w="3360"/>
          </w:tcPr>
          <w:p>
            <w:pPr>
              <w:spacing w:after="0"/>
            </w:pPr>
            <w:r>
              <w:rPr>
                <w:rFonts w:ascii="Times New Roman" w:hAnsi="Times New Roman"/>
                <w:sz w:val="17"/>
              </w:rPr>
              <w:t>Preserve atom identities and separate protein/ligand/water groups.</w:t>
            </w:r>
          </w:p>
        </w:tc>
      </w:tr>
      <w:tr>
        <w:tc>
          <w:tcPr>
            <w:tcW w:type="dxa" w:w="3360"/>
          </w:tcPr>
          <w:p>
            <w:pPr>
              <w:spacing w:after="0"/>
            </w:pPr>
            <w:r>
              <w:rPr>
                <w:rFonts w:ascii="Times New Roman" w:hAnsi="Times New Roman"/>
                <w:sz w:val="17"/>
              </w:rPr>
              <w:t>Molecular mechanics, solvation, minimization/short relaxation</w:t>
            </w:r>
          </w:p>
        </w:tc>
        <w:tc>
          <w:tcPr>
            <w:tcW w:type="dxa" w:w="3360"/>
          </w:tcPr>
          <w:p>
            <w:pPr>
              <w:spacing w:after="0"/>
            </w:pPr>
            <w:r>
              <w:rPr>
                <w:rFonts w:ascii="Times New Roman" w:hAnsi="Times New Roman"/>
                <w:sz w:val="17"/>
              </w:rPr>
              <w:t>OpenMM</w:t>
            </w:r>
          </w:p>
        </w:tc>
        <w:tc>
          <w:tcPr>
            <w:tcW w:type="dxa" w:w="3360"/>
          </w:tcPr>
          <w:p>
            <w:pPr>
              <w:spacing w:after="0"/>
            </w:pPr>
            <w:r>
              <w:rPr>
                <w:rFonts w:ascii="Times New Roman" w:hAnsi="Times New Roman"/>
                <w:sz w:val="17"/>
              </w:rPr>
              <w:t>Match the force field, water model, cell, restraints/fixed atoms, cutoff, and relaxation protocol used in MATISSE.</w:t>
            </w:r>
          </w:p>
        </w:tc>
      </w:tr>
      <w:tr>
        <w:tc>
          <w:tcPr>
            <w:tcW w:type="dxa" w:w="3360"/>
          </w:tcPr>
          <w:p>
            <w:pPr>
              <w:spacing w:after="0"/>
            </w:pPr>
            <w:r>
              <w:rPr>
                <w:rFonts w:ascii="Times New Roman" w:hAnsi="Times New Roman"/>
                <w:sz w:val="17"/>
              </w:rPr>
              <w:t>Nearest-protein-atom search</w:t>
            </w:r>
          </w:p>
        </w:tc>
        <w:tc>
          <w:tcPr>
            <w:tcW w:type="dxa" w:w="3360"/>
          </w:tcPr>
          <w:p>
            <w:pPr>
              <w:spacing w:after="0"/>
            </w:pPr>
            <w:r>
              <w:rPr>
                <w:rFonts w:ascii="Times New Roman" w:hAnsi="Times New Roman"/>
                <w:sz w:val="17"/>
              </w:rPr>
              <w:t>SciPy cKDTree or NumPy</w:t>
            </w:r>
          </w:p>
        </w:tc>
        <w:tc>
          <w:tcPr>
            <w:tcW w:type="dxa" w:w="3360"/>
          </w:tcPr>
          <w:p>
            <w:pPr>
              <w:spacing w:after="0"/>
            </w:pPr>
            <w:r>
              <w:rPr>
                <w:rFonts w:ascii="Times New Roman" w:hAnsi="Times New Roman"/>
                <w:sz w:val="17"/>
              </w:rPr>
              <w:t>For each retained water oxygen, return the minimum Cartesian distance to any protein atom.</w:t>
            </w:r>
          </w:p>
        </w:tc>
      </w:tr>
      <w:tr>
        <w:tc>
          <w:tcPr>
            <w:tcW w:type="dxa" w:w="3360"/>
          </w:tcPr>
          <w:p>
            <w:pPr>
              <w:spacing w:after="0"/>
            </w:pPr>
            <w:r>
              <w:rPr>
                <w:rFonts w:ascii="Times New Roman" w:hAnsi="Times New Roman"/>
                <w:sz w:val="17"/>
              </w:rPr>
              <w:t>Sphere geometry and pairwise intersections</w:t>
            </w:r>
          </w:p>
        </w:tc>
        <w:tc>
          <w:tcPr>
            <w:tcW w:type="dxa" w:w="3360"/>
          </w:tcPr>
          <w:p>
            <w:pPr>
              <w:spacing w:after="0"/>
            </w:pPr>
            <w:r>
              <w:rPr>
                <w:rFonts w:ascii="Times New Roman" w:hAnsi="Times New Roman"/>
                <w:sz w:val="17"/>
              </w:rPr>
              <w:t>NumPy</w:t>
            </w:r>
          </w:p>
        </w:tc>
        <w:tc>
          <w:tcPr>
            <w:tcW w:type="dxa" w:w="3360"/>
          </w:tcPr>
          <w:p>
            <w:pPr>
              <w:spacing w:after="0"/>
            </w:pPr>
            <w:r>
              <w:rPr>
                <w:rFonts w:ascii="Times New Roman" w:hAnsi="Times New Roman"/>
                <w:sz w:val="17"/>
              </w:rPr>
              <w:t>Implement the analytical sphere-volume and two-sphere intersection equations shown above.</w:t>
            </w:r>
          </w:p>
        </w:tc>
      </w:tr>
      <w:tr>
        <w:tc>
          <w:tcPr>
            <w:tcW w:type="dxa" w:w="3360"/>
          </w:tcPr>
          <w:p>
            <w:pPr>
              <w:spacing w:after="0"/>
            </w:pPr>
            <w:r>
              <w:rPr>
                <w:rFonts w:ascii="Times New Roman" w:hAnsi="Times New Roman"/>
                <w:sz w:val="17"/>
              </w:rPr>
              <w:t>Cycle statistics and output</w:t>
            </w:r>
          </w:p>
        </w:tc>
        <w:tc>
          <w:tcPr>
            <w:tcW w:type="dxa" w:w="3360"/>
          </w:tcPr>
          <w:p>
            <w:pPr>
              <w:spacing w:after="0"/>
            </w:pPr>
            <w:r>
              <w:rPr>
                <w:rFonts w:ascii="Times New Roman" w:hAnsi="Times New Roman"/>
                <w:sz w:val="17"/>
              </w:rPr>
              <w:t>NumPy / pandas</w:t>
            </w:r>
          </w:p>
        </w:tc>
        <w:tc>
          <w:tcPr>
            <w:tcW w:type="dxa" w:w="3360"/>
          </w:tcPr>
          <w:p>
            <w:pPr>
              <w:spacing w:after="0"/>
            </w:pPr>
            <w:r>
              <w:rPr>
                <w:rFonts w:ascii="Times New Roman" w:hAnsi="Times New Roman"/>
                <w:sz w:val="17"/>
              </w:rPr>
              <w:t>Compute five-cycle mean and standard deviation and export the descriptor table.</w:t>
            </w:r>
          </w:p>
        </w:tc>
      </w:tr>
    </w:tbl>
    <w:p>
      <w:pPr>
        <w:spacing w:before="140" w:after="80"/>
      </w:pPr>
      <w:r>
        <w:rPr>
          <w:rFonts w:ascii="Times New Roman" w:hAnsi="Times New Roman"/>
          <w:b/>
          <w:sz w:val="22"/>
        </w:rPr>
        <w:t>Source-specific preprocessing notes</w:t>
      </w:r>
    </w:p>
    <w:p>
      <w:pPr>
        <w:spacing w:after="60" w:line="240" w:lineRule="auto"/>
      </w:pPr>
      <w:r>
        <w:rPr>
          <w:rFonts w:ascii="Times New Roman" w:hAnsi="Times New Roman"/>
          <w:sz w:val="21"/>
        </w:rPr>
        <w:t>The original macro also deletes residues named DOD and replaces molybdenum atoms with cobalt if molybdenum is detected. These commands are retained here as source-specific preprocessing behavior but do not define the general sphere-based volumetric calculation. Their scientific necessity should be specified separately if they are relevant to any structures in the reported dataset.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MATISSE Supporting Information — Algorithm S1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