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B8E309" w14:textId="77777777" w:rsidR="00AD2428" w:rsidRPr="00AD2428" w:rsidRDefault="00AD2428" w:rsidP="00AD2428">
      <w:pPr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D2428">
        <w:rPr>
          <w:rFonts w:asciiTheme="majorBidi" w:hAnsiTheme="majorBidi" w:cstheme="majorBidi"/>
          <w:b/>
          <w:bCs/>
          <w:sz w:val="24"/>
          <w:szCs w:val="24"/>
        </w:rPr>
        <w:t>Customized Protocol for Dual-Glo® Luciferase Assay System</w:t>
      </w:r>
    </w:p>
    <w:p w14:paraId="353C4977" w14:textId="77777777" w:rsidR="00AD2428" w:rsidRPr="00AD2428" w:rsidRDefault="00AD2428" w:rsidP="00AD2428">
      <w:p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  <w:b/>
          <w:bCs/>
        </w:rPr>
        <w:t>Materials and Reagents:</w:t>
      </w:r>
    </w:p>
    <w:p w14:paraId="64DB33EB" w14:textId="77777777" w:rsidR="00AD2428" w:rsidRPr="00AD2428" w:rsidRDefault="00AD2428" w:rsidP="00AD2428">
      <w:pPr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Dual-Glo® Luciferase Assay System components</w:t>
      </w:r>
    </w:p>
    <w:p w14:paraId="4863A878" w14:textId="77777777" w:rsidR="00AD2428" w:rsidRPr="00AD2428" w:rsidRDefault="00AD2428" w:rsidP="00AD2428">
      <w:pPr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24-well plates</w:t>
      </w:r>
    </w:p>
    <w:p w14:paraId="3242E53A" w14:textId="77777777" w:rsidR="00AD2428" w:rsidRPr="00AD2428" w:rsidRDefault="00AD2428" w:rsidP="00AD2428">
      <w:pPr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96-well plates (for luminescence reading)</w:t>
      </w:r>
    </w:p>
    <w:p w14:paraId="4B60AF8C" w14:textId="77777777" w:rsidR="00AD2428" w:rsidRPr="00AD2428" w:rsidRDefault="00AD2428" w:rsidP="00AD2428">
      <w:pPr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Culture medium</w:t>
      </w:r>
    </w:p>
    <w:p w14:paraId="573B60A7" w14:textId="77777777" w:rsidR="00AD2428" w:rsidRPr="00AD2428" w:rsidRDefault="00AD2428" w:rsidP="00AD2428">
      <w:pPr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Mammalian cells</w:t>
      </w:r>
    </w:p>
    <w:p w14:paraId="1BF7DBDC" w14:textId="77777777" w:rsidR="00AD2428" w:rsidRPr="00AD2428" w:rsidRDefault="00AD2428" w:rsidP="00AD2428">
      <w:p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  <w:b/>
          <w:bCs/>
        </w:rPr>
        <w:t>Preparation of Reagents:</w:t>
      </w:r>
    </w:p>
    <w:p w14:paraId="0EBA3DB3" w14:textId="30672E2F" w:rsidR="00AD2428" w:rsidRPr="00AD2428" w:rsidRDefault="00AD2428" w:rsidP="00AD2428">
      <w:pPr>
        <w:numPr>
          <w:ilvl w:val="0"/>
          <w:numId w:val="2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  <w:b/>
          <w:bCs/>
        </w:rPr>
        <w:t>Dual-Glo Luciferase Reagent Preparation:</w:t>
      </w:r>
    </w:p>
    <w:p w14:paraId="19DDA70A" w14:textId="60838AFF" w:rsidR="00AD2428" w:rsidRPr="00AD2428" w:rsidRDefault="00AD2428" w:rsidP="00AD2428">
      <w:pPr>
        <w:numPr>
          <w:ilvl w:val="1"/>
          <w:numId w:val="2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Transfer the contents of one bottle of Dual-Glo Luciferase Buffer to one bottle of Dual-Glo Luciferase Substrate to make the Dual-Glo Luciferase Reagent.</w:t>
      </w:r>
    </w:p>
    <w:p w14:paraId="675DE826" w14:textId="77777777" w:rsidR="00AD2428" w:rsidRPr="00AD2428" w:rsidRDefault="00AD2428" w:rsidP="00AD2428">
      <w:pPr>
        <w:numPr>
          <w:ilvl w:val="1"/>
          <w:numId w:val="2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Store at -80°C to maintain activity. Thaw at room temperature before use.</w:t>
      </w:r>
    </w:p>
    <w:p w14:paraId="189FD884" w14:textId="0185C740" w:rsidR="00AD2428" w:rsidRPr="00AD2428" w:rsidRDefault="00AD2428" w:rsidP="00AD2428">
      <w:pPr>
        <w:numPr>
          <w:ilvl w:val="0"/>
          <w:numId w:val="2"/>
        </w:numPr>
        <w:spacing w:after="0" w:line="276" w:lineRule="auto"/>
        <w:rPr>
          <w:rFonts w:asciiTheme="majorBidi" w:hAnsiTheme="majorBidi" w:cstheme="majorBidi"/>
        </w:rPr>
      </w:pPr>
      <w:proofErr w:type="spellStart"/>
      <w:r w:rsidRPr="00AD2428">
        <w:rPr>
          <w:rFonts w:asciiTheme="majorBidi" w:hAnsiTheme="majorBidi" w:cstheme="majorBidi"/>
          <w:b/>
          <w:bCs/>
        </w:rPr>
        <w:t>Renil</w:t>
      </w:r>
      <w:r w:rsidR="007306A7">
        <w:rPr>
          <w:rFonts w:asciiTheme="majorBidi" w:hAnsiTheme="majorBidi" w:cstheme="majorBidi"/>
          <w:b/>
          <w:bCs/>
        </w:rPr>
        <w:t>l</w:t>
      </w:r>
      <w:r w:rsidRPr="00AD2428">
        <w:rPr>
          <w:rFonts w:asciiTheme="majorBidi" w:hAnsiTheme="majorBidi" w:cstheme="majorBidi"/>
          <w:b/>
          <w:bCs/>
        </w:rPr>
        <w:t>a</w:t>
      </w:r>
      <w:proofErr w:type="spellEnd"/>
      <w:r w:rsidRPr="00AD2428">
        <w:rPr>
          <w:rFonts w:asciiTheme="majorBidi" w:hAnsiTheme="majorBidi" w:cstheme="majorBidi"/>
          <w:b/>
          <w:bCs/>
        </w:rPr>
        <w:t xml:space="preserve"> - Dual-</w:t>
      </w:r>
      <w:proofErr w:type="spellStart"/>
      <w:r w:rsidRPr="00AD2428">
        <w:rPr>
          <w:rFonts w:asciiTheme="majorBidi" w:hAnsiTheme="majorBidi" w:cstheme="majorBidi"/>
          <w:b/>
          <w:bCs/>
        </w:rPr>
        <w:t>Glo</w:t>
      </w:r>
      <w:proofErr w:type="spellEnd"/>
      <w:r w:rsidRPr="00AD2428">
        <w:rPr>
          <w:rFonts w:asciiTheme="majorBidi" w:hAnsiTheme="majorBidi" w:cstheme="majorBidi"/>
          <w:b/>
          <w:bCs/>
        </w:rPr>
        <w:t xml:space="preserve"> Stop &amp; Glo Reagent Preparation:</w:t>
      </w:r>
    </w:p>
    <w:p w14:paraId="47420A35" w14:textId="2C1548E5" w:rsidR="00AD2428" w:rsidRPr="00AD2428" w:rsidRDefault="00AD2428" w:rsidP="00AD2428">
      <w:pPr>
        <w:numPr>
          <w:ilvl w:val="1"/>
          <w:numId w:val="2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Dilute Dual-Glo Stop &amp; Glo Substrate 1:100 into Dual-Glo Stop &amp; Glo Buffer to prepare the required volume of Dual-Glo Stop &amp; Glo Reagent.</w:t>
      </w:r>
    </w:p>
    <w:p w14:paraId="4B8E6D51" w14:textId="77777777" w:rsidR="00AD2428" w:rsidRPr="00AD2428" w:rsidRDefault="00AD2428" w:rsidP="00AD2428">
      <w:pPr>
        <w:numPr>
          <w:ilvl w:val="1"/>
          <w:numId w:val="2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Prepare immediately before use and do not store.</w:t>
      </w:r>
    </w:p>
    <w:p w14:paraId="3204A301" w14:textId="77777777" w:rsidR="00AD2428" w:rsidRPr="00AD2428" w:rsidRDefault="00AD2428" w:rsidP="00AD2428">
      <w:p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  <w:b/>
          <w:bCs/>
        </w:rPr>
        <w:t>Procedure:</w:t>
      </w:r>
    </w:p>
    <w:p w14:paraId="76EE2A63" w14:textId="77777777" w:rsidR="00AD2428" w:rsidRPr="00AD2428" w:rsidRDefault="00AD2428" w:rsidP="00AD2428">
      <w:pPr>
        <w:numPr>
          <w:ilvl w:val="0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  <w:b/>
          <w:bCs/>
        </w:rPr>
        <w:t>Cell Culture Preparation:</w:t>
      </w:r>
    </w:p>
    <w:p w14:paraId="29DD0DAE" w14:textId="77777777" w:rsidR="00AD2428" w:rsidRPr="00AD2428" w:rsidRDefault="00AD2428" w:rsidP="00AD2428">
      <w:pPr>
        <w:numPr>
          <w:ilvl w:val="1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Cultivate mammalian cells in a 24-well plate.</w:t>
      </w:r>
    </w:p>
    <w:p w14:paraId="20628D7A" w14:textId="479A4578" w:rsidR="00AD2428" w:rsidRPr="00AD2428" w:rsidRDefault="00AD2428" w:rsidP="00AD2428">
      <w:pPr>
        <w:numPr>
          <w:ilvl w:val="1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Reduce the culture medium in each well to 100µl to achieve a 1:1 ratio with the Dual-Glo Luciferase Reagent.</w:t>
      </w:r>
    </w:p>
    <w:p w14:paraId="7FDA3CCF" w14:textId="77777777" w:rsidR="00AD2428" w:rsidRPr="00AD2428" w:rsidRDefault="00AD2428" w:rsidP="00AD2428">
      <w:pPr>
        <w:numPr>
          <w:ilvl w:val="0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  <w:b/>
          <w:bCs/>
        </w:rPr>
        <w:t>Luciferase Addition:</w:t>
      </w:r>
    </w:p>
    <w:p w14:paraId="725BD9F1" w14:textId="0467E2FD" w:rsidR="00AD2428" w:rsidRPr="00AD2428" w:rsidRDefault="00AD2428" w:rsidP="00AD2428">
      <w:pPr>
        <w:numPr>
          <w:ilvl w:val="1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Add 100µl of Dual-Glo Luciferase Reagent to each well.</w:t>
      </w:r>
    </w:p>
    <w:p w14:paraId="48C4DF6C" w14:textId="77777777" w:rsidR="00AD2428" w:rsidRPr="00AD2428" w:rsidRDefault="00AD2428" w:rsidP="00AD2428">
      <w:pPr>
        <w:numPr>
          <w:ilvl w:val="1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Mix gently for thorough distribution.</w:t>
      </w:r>
    </w:p>
    <w:p w14:paraId="43BC093A" w14:textId="77777777" w:rsidR="00AD2428" w:rsidRPr="00AD2428" w:rsidRDefault="00AD2428" w:rsidP="00AD2428">
      <w:pPr>
        <w:numPr>
          <w:ilvl w:val="0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  <w:b/>
          <w:bCs/>
        </w:rPr>
        <w:t>Incubation with Agitation:</w:t>
      </w:r>
    </w:p>
    <w:p w14:paraId="1FBACB7E" w14:textId="4EE86530" w:rsidR="00AD2428" w:rsidRPr="00AD2428" w:rsidRDefault="00774296" w:rsidP="00AD2428">
      <w:pPr>
        <w:numPr>
          <w:ilvl w:val="1"/>
          <w:numId w:val="3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Cover the plate</w:t>
      </w:r>
      <w:r w:rsidR="00FE2013">
        <w:rPr>
          <w:rFonts w:asciiTheme="majorBidi" w:hAnsiTheme="majorBidi" w:cstheme="majorBidi"/>
        </w:rPr>
        <w:t>,</w:t>
      </w:r>
      <w:r>
        <w:rPr>
          <w:rFonts w:asciiTheme="majorBidi" w:hAnsiTheme="majorBidi" w:cstheme="majorBidi"/>
        </w:rPr>
        <w:t xml:space="preserve"> place</w:t>
      </w:r>
      <w:r w:rsidR="00AD2428" w:rsidRPr="00AD2428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it </w:t>
      </w:r>
      <w:r w:rsidR="00AD2428" w:rsidRPr="00AD2428">
        <w:rPr>
          <w:rFonts w:asciiTheme="majorBidi" w:hAnsiTheme="majorBidi" w:cstheme="majorBidi"/>
        </w:rPr>
        <w:t>on an agitator</w:t>
      </w:r>
      <w:r w:rsidR="00FE2013">
        <w:rPr>
          <w:rFonts w:asciiTheme="majorBidi" w:hAnsiTheme="majorBidi" w:cstheme="majorBidi"/>
        </w:rPr>
        <w:t>,</w:t>
      </w:r>
      <w:r w:rsidR="00AD2428" w:rsidRPr="00AD2428">
        <w:rPr>
          <w:rFonts w:asciiTheme="majorBidi" w:hAnsiTheme="majorBidi" w:cstheme="majorBidi"/>
        </w:rPr>
        <w:t xml:space="preserve"> and incubate at room temperature (20–25°C) for 15 minutes to facilitate cell lysis and reaction development.</w:t>
      </w:r>
    </w:p>
    <w:p w14:paraId="5C1D56F2" w14:textId="77777777" w:rsidR="00AD2428" w:rsidRPr="00AD2428" w:rsidRDefault="00AD2428" w:rsidP="00AD2428">
      <w:pPr>
        <w:numPr>
          <w:ilvl w:val="0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  <w:b/>
          <w:bCs/>
        </w:rPr>
        <w:t>Luminescence Measurement:</w:t>
      </w:r>
    </w:p>
    <w:p w14:paraId="6C9D6844" w14:textId="2BC6A7A6" w:rsidR="00AD2428" w:rsidRPr="00AD2428" w:rsidRDefault="00AD2428" w:rsidP="00AD2428">
      <w:pPr>
        <w:numPr>
          <w:ilvl w:val="1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Transfer</w:t>
      </w:r>
      <w:r w:rsidR="007306A7">
        <w:rPr>
          <w:rFonts w:asciiTheme="majorBidi" w:hAnsiTheme="majorBidi" w:cstheme="majorBidi"/>
        </w:rPr>
        <w:t xml:space="preserve"> 100</w:t>
      </w:r>
      <w:r w:rsidR="007306A7" w:rsidRPr="00AD2428">
        <w:rPr>
          <w:rFonts w:asciiTheme="majorBidi" w:hAnsiTheme="majorBidi" w:cstheme="majorBidi"/>
        </w:rPr>
        <w:t>µ</w:t>
      </w:r>
      <w:r w:rsidR="007306A7">
        <w:rPr>
          <w:rFonts w:asciiTheme="majorBidi" w:hAnsiTheme="majorBidi" w:cstheme="majorBidi"/>
        </w:rPr>
        <w:t xml:space="preserve">l of </w:t>
      </w:r>
      <w:r w:rsidR="00774296">
        <w:rPr>
          <w:rFonts w:asciiTheme="majorBidi" w:hAnsiTheme="majorBidi" w:cstheme="majorBidi"/>
        </w:rPr>
        <w:t xml:space="preserve">the liquid in </w:t>
      </w:r>
      <w:r w:rsidR="007306A7">
        <w:rPr>
          <w:rFonts w:asciiTheme="majorBidi" w:hAnsiTheme="majorBidi" w:cstheme="majorBidi"/>
        </w:rPr>
        <w:t xml:space="preserve">each well of the </w:t>
      </w:r>
      <w:r w:rsidRPr="00AD2428">
        <w:rPr>
          <w:rFonts w:asciiTheme="majorBidi" w:hAnsiTheme="majorBidi" w:cstheme="majorBidi"/>
        </w:rPr>
        <w:t>24-well plate to a 96-well plate for luminescence reading.</w:t>
      </w:r>
    </w:p>
    <w:p w14:paraId="2A97F40A" w14:textId="3328358E" w:rsidR="00AD2428" w:rsidRDefault="00AD2428" w:rsidP="00AD2428">
      <w:pPr>
        <w:numPr>
          <w:ilvl w:val="2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 xml:space="preserve">The plates used must be compatible with the luminometer being </w:t>
      </w:r>
      <w:r w:rsidR="007306A7" w:rsidRPr="00AD2428">
        <w:rPr>
          <w:rFonts w:asciiTheme="majorBidi" w:hAnsiTheme="majorBidi" w:cstheme="majorBidi"/>
        </w:rPr>
        <w:t>used.</w:t>
      </w:r>
    </w:p>
    <w:p w14:paraId="1D9E6D22" w14:textId="2CCCAA04" w:rsidR="007306A7" w:rsidRPr="00AD2428" w:rsidRDefault="007306A7" w:rsidP="00AD2428">
      <w:pPr>
        <w:numPr>
          <w:ilvl w:val="2"/>
          <w:numId w:val="3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Use a needle to blow</w:t>
      </w:r>
      <w:r w:rsidR="00774296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up bubbles if </w:t>
      </w:r>
      <w:r w:rsidR="00774296">
        <w:rPr>
          <w:rFonts w:asciiTheme="majorBidi" w:hAnsiTheme="majorBidi" w:cstheme="majorBidi"/>
        </w:rPr>
        <w:t>necessary.</w:t>
      </w:r>
    </w:p>
    <w:p w14:paraId="6DB5D72F" w14:textId="77777777" w:rsidR="00AD2428" w:rsidRPr="00AD2428" w:rsidRDefault="00AD2428" w:rsidP="00AD2428">
      <w:pPr>
        <w:numPr>
          <w:ilvl w:val="1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Measure the firefly luminescence using a luminometer.</w:t>
      </w:r>
    </w:p>
    <w:p w14:paraId="740D2839" w14:textId="04399A3A" w:rsidR="00AD2428" w:rsidRPr="00AD2428" w:rsidRDefault="00AD2428" w:rsidP="00AD2428">
      <w:pPr>
        <w:numPr>
          <w:ilvl w:val="0"/>
          <w:numId w:val="3"/>
        </w:numPr>
        <w:spacing w:after="0" w:line="276" w:lineRule="auto"/>
        <w:rPr>
          <w:rFonts w:asciiTheme="majorBidi" w:hAnsiTheme="majorBidi" w:cstheme="majorBidi"/>
        </w:rPr>
      </w:pPr>
      <w:proofErr w:type="spellStart"/>
      <w:r w:rsidRPr="00AD2428">
        <w:rPr>
          <w:rFonts w:asciiTheme="majorBidi" w:hAnsiTheme="majorBidi" w:cstheme="majorBidi"/>
          <w:b/>
          <w:bCs/>
        </w:rPr>
        <w:t>Renil</w:t>
      </w:r>
      <w:r w:rsidR="007306A7">
        <w:rPr>
          <w:rFonts w:asciiTheme="majorBidi" w:hAnsiTheme="majorBidi" w:cstheme="majorBidi"/>
          <w:b/>
          <w:bCs/>
        </w:rPr>
        <w:t>l</w:t>
      </w:r>
      <w:r w:rsidRPr="00AD2428">
        <w:rPr>
          <w:rFonts w:asciiTheme="majorBidi" w:hAnsiTheme="majorBidi" w:cstheme="majorBidi"/>
          <w:b/>
          <w:bCs/>
        </w:rPr>
        <w:t>a</w:t>
      </w:r>
      <w:proofErr w:type="spellEnd"/>
      <w:r w:rsidRPr="00AD2428">
        <w:rPr>
          <w:rFonts w:asciiTheme="majorBidi" w:hAnsiTheme="majorBidi" w:cstheme="majorBidi"/>
          <w:b/>
          <w:bCs/>
        </w:rPr>
        <w:t xml:space="preserve"> (Stop and Glow) Addition:</w:t>
      </w:r>
    </w:p>
    <w:p w14:paraId="37CD002E" w14:textId="24A1CAB6" w:rsidR="00AD2428" w:rsidRPr="00AD2428" w:rsidRDefault="00AD2428" w:rsidP="00AD2428">
      <w:pPr>
        <w:numPr>
          <w:ilvl w:val="1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Add 10</w:t>
      </w:r>
      <w:r w:rsidR="00605ED4">
        <w:rPr>
          <w:rFonts w:asciiTheme="majorBidi" w:hAnsiTheme="majorBidi" w:cstheme="majorBidi"/>
        </w:rPr>
        <w:t>0</w:t>
      </w:r>
      <w:bookmarkStart w:id="0" w:name="_GoBack"/>
      <w:bookmarkEnd w:id="0"/>
      <w:r w:rsidRPr="00AD2428">
        <w:rPr>
          <w:rFonts w:asciiTheme="majorBidi" w:hAnsiTheme="majorBidi" w:cstheme="majorBidi"/>
        </w:rPr>
        <w:t>µl of diluted "Stop and Glow" (1:100 dilution) to each well of the 96-well plate.</w:t>
      </w:r>
    </w:p>
    <w:p w14:paraId="4E8CA6B9" w14:textId="77777777" w:rsidR="00AD2428" w:rsidRPr="00AD2428" w:rsidRDefault="00AD2428" w:rsidP="00AD2428">
      <w:pPr>
        <w:numPr>
          <w:ilvl w:val="1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Mix thoroughly.</w:t>
      </w:r>
    </w:p>
    <w:p w14:paraId="04E4E206" w14:textId="77777777" w:rsidR="00AD2428" w:rsidRPr="00AD2428" w:rsidRDefault="00AD2428" w:rsidP="00AD2428">
      <w:pPr>
        <w:numPr>
          <w:ilvl w:val="0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  <w:b/>
          <w:bCs/>
        </w:rPr>
        <w:t>Second Incubation:</w:t>
      </w:r>
    </w:p>
    <w:p w14:paraId="5BBFB959" w14:textId="0B446B7E" w:rsidR="00AD2428" w:rsidRPr="00AD2428" w:rsidRDefault="00FE2013" w:rsidP="00AD2428">
      <w:pPr>
        <w:numPr>
          <w:ilvl w:val="1"/>
          <w:numId w:val="3"/>
        </w:numPr>
        <w:spacing w:after="0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Cover the plate and w</w:t>
      </w:r>
      <w:r w:rsidR="00AD2428" w:rsidRPr="00AD2428">
        <w:rPr>
          <w:rFonts w:asciiTheme="majorBidi" w:hAnsiTheme="majorBidi" w:cstheme="majorBidi"/>
        </w:rPr>
        <w:t>ait for another 15 minutes on the agitator at room temperature.</w:t>
      </w:r>
    </w:p>
    <w:p w14:paraId="65367BDF" w14:textId="77777777" w:rsidR="00AD2428" w:rsidRPr="00AD2428" w:rsidRDefault="00AD2428" w:rsidP="00AD2428">
      <w:pPr>
        <w:numPr>
          <w:ilvl w:val="0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  <w:b/>
          <w:bCs/>
        </w:rPr>
        <w:t>Final Luminescence Measurement:</w:t>
      </w:r>
    </w:p>
    <w:p w14:paraId="763B1378" w14:textId="77777777" w:rsidR="00AD2428" w:rsidRPr="00AD2428" w:rsidRDefault="00AD2428" w:rsidP="00AD2428">
      <w:pPr>
        <w:numPr>
          <w:ilvl w:val="1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 xml:space="preserve">Measure the </w:t>
      </w:r>
      <w:proofErr w:type="spellStart"/>
      <w:r w:rsidRPr="00AD2428">
        <w:rPr>
          <w:rFonts w:asciiTheme="majorBidi" w:hAnsiTheme="majorBidi" w:cstheme="majorBidi"/>
        </w:rPr>
        <w:t>Renilla</w:t>
      </w:r>
      <w:proofErr w:type="spellEnd"/>
      <w:r w:rsidRPr="00AD2428">
        <w:rPr>
          <w:rFonts w:asciiTheme="majorBidi" w:hAnsiTheme="majorBidi" w:cstheme="majorBidi"/>
        </w:rPr>
        <w:t xml:space="preserve"> luminescence in the 96-well plate.</w:t>
      </w:r>
    </w:p>
    <w:p w14:paraId="5366CD4A" w14:textId="77777777" w:rsidR="00AD2428" w:rsidRDefault="00AD2428" w:rsidP="00AD2428">
      <w:pPr>
        <w:numPr>
          <w:ilvl w:val="1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</w:rPr>
        <w:t>Perform readings in the same order as the firefly luminescence.</w:t>
      </w:r>
    </w:p>
    <w:p w14:paraId="47B2660E" w14:textId="7E6031EA" w:rsidR="00AD2428" w:rsidRPr="00AD2428" w:rsidRDefault="00AD2428" w:rsidP="00AD2428">
      <w:pPr>
        <w:numPr>
          <w:ilvl w:val="0"/>
          <w:numId w:val="3"/>
        </w:numPr>
        <w:spacing w:after="0" w:line="276" w:lineRule="auto"/>
        <w:rPr>
          <w:rFonts w:asciiTheme="majorBidi" w:hAnsiTheme="majorBidi" w:cstheme="majorBidi"/>
        </w:rPr>
      </w:pPr>
      <w:r w:rsidRPr="00AD2428">
        <w:rPr>
          <w:rFonts w:asciiTheme="majorBidi" w:hAnsiTheme="majorBidi" w:cstheme="majorBidi"/>
          <w:b/>
          <w:bCs/>
        </w:rPr>
        <w:t>Data Analysis</w:t>
      </w:r>
      <w:r w:rsidRPr="00AD2428">
        <w:rPr>
          <w:rFonts w:asciiTheme="majorBidi" w:hAnsiTheme="majorBidi" w:cstheme="majorBidi"/>
        </w:rPr>
        <w:t xml:space="preserve">: Calculate the </w:t>
      </w:r>
      <w:r>
        <w:rPr>
          <w:rFonts w:asciiTheme="majorBidi" w:hAnsiTheme="majorBidi" w:cstheme="majorBidi"/>
        </w:rPr>
        <w:t xml:space="preserve">firefly to </w:t>
      </w:r>
      <w:proofErr w:type="spellStart"/>
      <w:r>
        <w:rPr>
          <w:rFonts w:asciiTheme="majorBidi" w:hAnsiTheme="majorBidi" w:cstheme="majorBidi"/>
        </w:rPr>
        <w:t>Renilla</w:t>
      </w:r>
      <w:proofErr w:type="spellEnd"/>
      <w:r>
        <w:rPr>
          <w:rFonts w:asciiTheme="majorBidi" w:hAnsiTheme="majorBidi" w:cstheme="majorBidi"/>
        </w:rPr>
        <w:t xml:space="preserve"> luminescence ratio </w:t>
      </w:r>
      <w:r w:rsidRPr="00AD2428">
        <w:rPr>
          <w:rFonts w:asciiTheme="majorBidi" w:hAnsiTheme="majorBidi" w:cstheme="majorBidi"/>
        </w:rPr>
        <w:t>for each well. Normalize this ratio against a control well or series of control wells.</w:t>
      </w:r>
    </w:p>
    <w:p w14:paraId="356F8A0A" w14:textId="77777777" w:rsidR="00CE707E" w:rsidRPr="00AD2428" w:rsidRDefault="00CE707E" w:rsidP="00AD2428">
      <w:pPr>
        <w:spacing w:after="0" w:line="276" w:lineRule="auto"/>
        <w:rPr>
          <w:rFonts w:asciiTheme="majorBidi" w:hAnsiTheme="majorBidi" w:cstheme="majorBidi"/>
        </w:rPr>
      </w:pPr>
    </w:p>
    <w:sectPr w:rsidR="00CE707E" w:rsidRPr="00AD24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2F0B23" w14:textId="77777777" w:rsidR="00511073" w:rsidRDefault="00511073" w:rsidP="00842AC6">
      <w:pPr>
        <w:spacing w:after="0" w:line="240" w:lineRule="auto"/>
      </w:pPr>
      <w:r>
        <w:separator/>
      </w:r>
    </w:p>
  </w:endnote>
  <w:endnote w:type="continuationSeparator" w:id="0">
    <w:p w14:paraId="3A7544BE" w14:textId="77777777" w:rsidR="00511073" w:rsidRDefault="00511073" w:rsidP="00842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31618" w14:textId="77777777" w:rsidR="000B148A" w:rsidRDefault="000B14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A7EAF" w14:textId="77777777" w:rsidR="000B148A" w:rsidRDefault="000B14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1A6A22" w14:textId="77777777" w:rsidR="000B148A" w:rsidRDefault="000B14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E514F8" w14:textId="77777777" w:rsidR="00511073" w:rsidRDefault="00511073" w:rsidP="00842AC6">
      <w:pPr>
        <w:spacing w:after="0" w:line="240" w:lineRule="auto"/>
      </w:pPr>
      <w:r>
        <w:separator/>
      </w:r>
    </w:p>
  </w:footnote>
  <w:footnote w:type="continuationSeparator" w:id="0">
    <w:p w14:paraId="44F7E4C2" w14:textId="77777777" w:rsidR="00511073" w:rsidRDefault="00511073" w:rsidP="00842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68590" w14:textId="77777777" w:rsidR="000B148A" w:rsidRDefault="000B14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58D1A7" w14:textId="2F17C510" w:rsidR="00842AC6" w:rsidRDefault="00842AC6">
    <w:pPr>
      <w:pStyle w:val="Header"/>
      <w:rPr>
        <w:lang w:val="en-US"/>
      </w:rPr>
    </w:pPr>
    <w:r>
      <w:rPr>
        <w:lang w:val="en-US"/>
      </w:rPr>
      <w:t>27.11.2023</w:t>
    </w:r>
  </w:p>
  <w:p w14:paraId="4EA14619" w14:textId="51C0578D" w:rsidR="00842AC6" w:rsidRDefault="00842AC6">
    <w:pPr>
      <w:pStyle w:val="Header"/>
      <w:rPr>
        <w:lang w:val="en-US"/>
      </w:rPr>
    </w:pPr>
    <w:r>
      <w:rPr>
        <w:lang w:val="en-US"/>
      </w:rPr>
      <w:t>Protocol for Promega</w:t>
    </w:r>
    <w:r w:rsidR="00EB7E74">
      <w:rPr>
        <w:lang w:val="en-US"/>
      </w:rPr>
      <w:t>’</w:t>
    </w:r>
    <w:r>
      <w:rPr>
        <w:lang w:val="en-US"/>
      </w:rPr>
      <w:t xml:space="preserve">s </w:t>
    </w:r>
    <w:r w:rsidRPr="00842AC6">
      <w:rPr>
        <w:lang w:val="en-US"/>
      </w:rPr>
      <w:t>Dual-Glo® Luciferase Assay System</w:t>
    </w:r>
    <w:r>
      <w:rPr>
        <w:lang w:val="en-US"/>
      </w:rPr>
      <w:t xml:space="preserve"> – cat# E2920/E2940</w:t>
    </w:r>
  </w:p>
  <w:p w14:paraId="25AF1020" w14:textId="1F9267B5" w:rsidR="00842AC6" w:rsidRPr="00842AC6" w:rsidRDefault="00842AC6">
    <w:pPr>
      <w:pStyle w:val="Header"/>
      <w:rPr>
        <w:lang w:val="en-US"/>
      </w:rPr>
    </w:pPr>
    <w:r>
      <w:rPr>
        <w:lang w:val="en-US"/>
      </w:rPr>
      <w:t xml:space="preserve">Written by Doha &amp; Yam based on </w:t>
    </w:r>
    <w:proofErr w:type="spellStart"/>
    <w:r>
      <w:rPr>
        <w:lang w:val="en-US"/>
      </w:rPr>
      <w:t>Chofit’s</w:t>
    </w:r>
    <w:proofErr w:type="spellEnd"/>
    <w:r>
      <w:rPr>
        <w:lang w:val="en-US"/>
      </w:rPr>
      <w:t xml:space="preserve"> notes</w:t>
    </w:r>
  </w:p>
  <w:p w14:paraId="1F285CD4" w14:textId="77777777" w:rsidR="00842AC6" w:rsidRDefault="00842AC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7830F5" w14:textId="77777777" w:rsidR="000B148A" w:rsidRDefault="000B14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81AA4"/>
    <w:multiLevelType w:val="multilevel"/>
    <w:tmpl w:val="C4A80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F290D"/>
    <w:multiLevelType w:val="multilevel"/>
    <w:tmpl w:val="2598B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BF4423"/>
    <w:multiLevelType w:val="multilevel"/>
    <w:tmpl w:val="8C8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428"/>
    <w:rsid w:val="000B148A"/>
    <w:rsid w:val="00511073"/>
    <w:rsid w:val="005A2CF0"/>
    <w:rsid w:val="00605ED4"/>
    <w:rsid w:val="007306A7"/>
    <w:rsid w:val="00774296"/>
    <w:rsid w:val="00842AC6"/>
    <w:rsid w:val="00AD2428"/>
    <w:rsid w:val="00CE707E"/>
    <w:rsid w:val="00EB7E74"/>
    <w:rsid w:val="00FE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628CF2"/>
  <w15:chartTrackingRefBased/>
  <w15:docId w15:val="{441519A8-9EE1-4609-8FEB-BC7D0B13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AC6"/>
  </w:style>
  <w:style w:type="paragraph" w:styleId="Footer">
    <w:name w:val="footer"/>
    <w:basedOn w:val="Normal"/>
    <w:link w:val="FooterChar"/>
    <w:uiPriority w:val="99"/>
    <w:unhideWhenUsed/>
    <w:rsid w:val="00842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325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 Amir</dc:creator>
  <cp:keywords/>
  <dc:description/>
  <cp:lastModifiedBy>Yam Amir</cp:lastModifiedBy>
  <cp:revision>4</cp:revision>
  <dcterms:created xsi:type="dcterms:W3CDTF">2023-11-27T16:14:00Z</dcterms:created>
  <dcterms:modified xsi:type="dcterms:W3CDTF">2023-12-14T08:07:00Z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1e2035cf-0627-4666-9f1d-8e0c97abf5db</vt:lpwstr>
  </property>
</Properties>
</file>