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第五章 边缘AI推理系统设计</w:t>
      </w:r>
    </w:p>
    <w:p>
      <w:pPr>
        <w:pStyle w:val="Heading2"/>
      </w:pPr>
      <w:r>
        <w:t>5.1 推理系统总体流程</w:t>
      </w:r>
    </w:p>
    <w:p>
      <w:pPr>
        <w:spacing w:after="100" w:line="360" w:lineRule="auto"/>
        <w:ind w:firstLineChars="200"/>
      </w:pPr>
      <w:r>
        <w:t>边缘 AI 推理系统运行在 Jetson Nano 上，主要负责图像采集、模型推理、缺陷判定和串口结果返回。系统通过 UART 串口接收 STM32 发送的触发帧，当传送带上的产品到达检测位置并停稳后，Jetson 读取 USB 摄像头图像，调用 TensorRT 引擎完成目标检测，并将检测结果转换为缺陷或正常状态返回 STM32。</w:t>
      </w:r>
    </w:p>
    <w:p>
      <w:pPr>
        <w:spacing w:after="100" w:line="360" w:lineRule="auto"/>
        <w:ind w:firstLineChars="200"/>
      </w:pPr>
      <w:r>
        <w:t>Jetson 端程序采用 Python 编写，主要由串口通信、摄像头采集、图像预处理、TensorRT 推理、检测后处理和结果回复几部分组成。程序启动后先加载 TensorRT 引擎，再打开摄像头和串口，并创建后台串口读取线程。主循环持续等待触发队列中的有效帧，收到触发后执行一次完整推理流程。</w:t>
      </w:r>
    </w:p>
    <w:p>
      <w:pPr>
        <w:spacing w:after="100" w:line="360" w:lineRule="auto"/>
        <w:ind w:firstLineChars="200"/>
      </w:pPr>
      <w:r>
        <w:t>系统推理流程如下：接收 STM32 触发帧；采集当前摄像头图像；对图像进行缩放、填充和格式转换；调用 TensorRT 引擎执行推理；解析模型输出并进行非极大值抑制；根据检测结果判断产品状态；最后通过串口发送 `BB STATUS XOR` 回复帧。</w:t>
      </w:r>
    </w:p>
    <w:p>
      <w:pPr>
        <w:pStyle w:val="Heading2"/>
      </w:pPr>
      <w:r>
        <w:t>5.2 模型选型与部署方式</w:t>
      </w:r>
    </w:p>
    <w:p>
      <w:pPr>
        <w:spacing w:after="100" w:line="360" w:lineRule="auto"/>
        <w:ind w:firstLineChars="200"/>
      </w:pPr>
      <w:r>
        <w:t>本系统选用 YOLOv8n 作为目标检测模型。YOLOv8n 模型规模较小，推理速度较快，适合 Jetson Nano 这类资源有限的边缘设备。对于传送带缺陷检测场景，系统更关注端到端响应时间和部署稳定性，因此选择轻量模型能够降低推理延迟，并减少边缘设备的计算压力。</w:t>
      </w:r>
    </w:p>
    <w:p>
      <w:pPr>
        <w:spacing w:after="100" w:line="360" w:lineRule="auto"/>
        <w:ind w:firstLineChars="200"/>
      </w:pPr>
      <w:r>
        <w:t>模型部署采用 TensorRT FP16 引擎方式。训练或导出的模型先转换为 TensorRT 支持的 engine 文件，Jetson 端程序运行时直接加载 `yolov8n_fp16.engine`。相比直接使用 PyTorch 模型推理，TensorRT 能够针对 NVIDIA GPU 进行算子融合、精度优化和显存调度优化，从而提高推理效率。</w:t>
      </w:r>
    </w:p>
    <w:p>
      <w:pPr>
        <w:spacing w:after="100" w:line="360" w:lineRule="auto"/>
        <w:ind w:firstLineChars="200"/>
      </w:pPr>
      <w:r>
        <w:t>程序中的 `TRTEngine` 类负责加载 engine 文件并创建执行上下文，同时为输入和输出绑定分配主机内存、设备显存和 CUDA Stream。推理时，程序先将预处理后的图像数据复制到输入缓冲区，再执行异步推理，最后将输出结果从设备端复制回主机端进行后处理。</w:t>
      </w:r>
    </w:p>
    <w:p>
      <w:pPr>
        <w:pStyle w:val="Heading2"/>
      </w:pPr>
      <w:r>
        <w:t>5.3 图像预处理设计</w:t>
      </w:r>
    </w:p>
    <w:p>
      <w:pPr>
        <w:spacing w:after="100" w:line="360" w:lineRule="auto"/>
        <w:ind w:firstLineChars="200"/>
      </w:pPr>
      <w:r>
        <w:t>摄像头采集到的原始图像分辨率设置为 640×480，而模型输入尺寸为 640×640。为避免直接拉伸导致目标比例失真，程序采用 letterbox 方式进行预处理。该方法先按比例缩放原始图像，使其适配模型输入尺寸，再在空白区域填充灰色边界，保持目标宽高比例不变。</w:t>
      </w:r>
    </w:p>
    <w:p>
      <w:pPr>
        <w:spacing w:after="100" w:line="360" w:lineRule="auto"/>
        <w:ind w:firstLineChars="200"/>
      </w:pPr>
      <w:r>
        <w:t>预处理过程主要包括四个步骤：首先读取原始图像尺寸，计算缩放比例；然后使用 OpenCV 将图像缩放到目标大小；接着在上下或左右方向补边，使图像尺寸变为 640×640；最后将图像从 BGR 转换为 RGB，并归一化到 0 至 1 范围，再调整为 CHW 格式输入模型。</w:t>
      </w:r>
    </w:p>
    <w:p>
      <w:pPr>
        <w:spacing w:after="100" w:line="360" w:lineRule="auto"/>
        <w:ind w:firstLineChars="200"/>
      </w:pPr>
      <w:r>
        <w:t>预处理函数同时返回缩放比例和填充值，用于后处理阶段将检测框坐标从模型输入空间映射回原始图像空间。这样可以保证检测框位置与摄像头原图对应，便于后续调试显示和结果分析。</w:t>
      </w:r>
    </w:p>
    <w:p>
      <w:pPr>
        <w:pStyle w:val="Heading2"/>
      </w:pPr>
      <w:r>
        <w:t>5.4 检测后处理设计</w:t>
      </w:r>
    </w:p>
    <w:p>
      <w:pPr>
        <w:spacing w:after="100" w:line="360" w:lineRule="auto"/>
        <w:ind w:firstLineChars="200"/>
      </w:pPr>
      <w:r>
        <w:t>TensorRT 输出的是模型原始预测结果，不能直接作为最终检测结果使用。程序需要对输出张量进行解析、置信度筛选、坐标变换和非极大值抑制。</w:t>
      </w:r>
    </w:p>
    <w:p>
      <w:pPr>
        <w:spacing w:after="100" w:line="360" w:lineRule="auto"/>
        <w:ind w:firstLineChars="200"/>
      </w:pPr>
      <w:r>
        <w:t>由于不同 YOLO 版本的输出格式不同，程序在后处理时进行了兼容处理。YOLOv5 常见输出格式为 `[25200, 85]`，其中包含目标框、objectness 和类别置信度；YOLOv8 常见输出格式为 `[84, 8400]`，需要先转置为 `[8400, 84]`，再解析边界框和类别得分。程序根据张量维度自动判断输出格式，提升了推理模块的适配性。</w:t>
      </w:r>
    </w:p>
    <w:p>
      <w:pPr>
        <w:spacing w:after="100" w:line="360" w:lineRule="auto"/>
        <w:ind w:firstLineChars="200"/>
      </w:pPr>
      <w:r>
        <w:t>在置信度筛选阶段，程序使用 `CONF_THRESH` 过滤低置信度目标。随后将模型输出的中心点宽高格式转换为左上角和右下角坐标，并结合预处理阶段记录的缩放比例和填充值，将坐标映射回原图尺寸。最后使用 NMS 非极大值抑制去除重叠检测框，得到最终目标列表。</w:t>
      </w:r>
    </w:p>
    <w:p>
      <w:pPr>
        <w:pStyle w:val="Heading2"/>
      </w:pPr>
      <w:r>
        <w:t>5.5 缺陷判定与串口回复</w:t>
      </w:r>
    </w:p>
    <w:p>
      <w:pPr>
        <w:spacing w:after="100" w:line="360" w:lineRule="auto"/>
        <w:ind w:firstLineChars="200"/>
      </w:pPr>
      <w:r>
        <w:t>系统通过检测结果判断当前产品是否为缺陷品。程序中设置了 `DEFECT_CLASS_IDS` 参数，用于指定哪些类别属于缺陷类别。当该列表非空时，只要检测结果中存在对应类别，即判定为缺陷；当该列表为空时，程序将检测到任意目标视为缺陷。实际应用中可根据训练数据类别修改该参数，使系统适配不同产品和缺陷类型。</w:t>
      </w:r>
    </w:p>
    <w:p>
      <w:pPr>
        <w:spacing w:after="100" w:line="360" w:lineRule="auto"/>
        <w:ind w:firstLineChars="200"/>
      </w:pPr>
      <w:r>
        <w:t>判定完成后，Jetson 通过串口向 STM32 返回 3 字节结果帧，格式为 `BB STATUS XOR`。其中 `STATUS=0x01` 表示检测到缺陷，需要剔除；`STATUS=0x02` 表示未检测到缺陷，正常放行。校验字节由帧头和状态字节异或得到，用于 STM32 端进行简单校验。</w:t>
      </w:r>
    </w:p>
    <w:p>
      <w:pPr>
        <w:spacing w:after="100" w:line="360" w:lineRule="auto"/>
        <w:ind w:firstLineChars="200"/>
      </w:pPr>
      <w:r>
        <w:t>为了避免串口读取阻塞影响推理主循环，程序创建了后台线程持续接收串口数据，并将解析出的有效触发帧放入队列。主循环每隔固定时间检查队列，只有收到合法命令 `0x10` 时才启动拍照和推理流程。程序还设置了 `processing` 标志位，当上一帧尚未处理完成时跳过新的触发，避免重复推理造成流程混乱。</w:t>
      </w:r>
    </w:p>
    <w:p>
      <w:pPr>
        <w:pStyle w:val="Heading2"/>
      </w:pPr>
      <w:r>
        <w:t>5.6 调试与运行配置</w:t>
      </w:r>
    </w:p>
    <w:p>
      <w:pPr>
        <w:spacing w:after="100" w:line="360" w:lineRule="auto"/>
        <w:ind w:firstLineChars="200"/>
      </w:pPr>
      <w:r>
        <w:t>Jetson 端程序提供了若干运行参数，便于系统调试和现场部署。摄像头索引由 `CAM_INDEX` 指定，默认使用 `/dev/video0`；串口设备由 `SERIAL_PORT` 指定，Jetson Nano 硬件串口通常为 `/dev/ttyTHS1`，也可根据实际情况改为 USB 转 TTL 设备。串口波特率设置为 9600，与 STM32 端保持一致。</w:t>
      </w:r>
    </w:p>
    <w:p>
      <w:pPr>
        <w:spacing w:after="100" w:line="360" w:lineRule="auto"/>
        <w:ind w:firstLineChars="200"/>
      </w:pPr>
      <w:r>
        <w:t>程序中 `SHOW_WINDOW` 用于控制是否显示检测画面。在调试阶段，可以开启窗口显示检测框和检测数量，便于检查摄像头视角和模型输出；在正式运行时可关闭显示窗口，减少额外资源占用。`DEBUG_RAW_HEX` 用于打印串口原始十六进制数据，方便检查触发帧和回复帧是否正确。</w:t>
      </w:r>
    </w:p>
    <w:p>
      <w:pPr>
        <w:spacing w:after="100" w:line="360" w:lineRule="auto"/>
        <w:ind w:firstLineChars="200"/>
      </w:pPr>
      <w:r>
        <w:t>Jetson Nano 使用硬件串口时，需要关闭默认占用串口的系统服务，并确保当前用户具有串口访问权限。此外，STM32 与 Jetson 通信时必须共地，否则可能出现串口数据异常或通信不稳定。</w:t>
      </w:r>
    </w:p>
    <w:p>
      <w:pPr>
        <w:pStyle w:val="Heading2"/>
      </w:pPr>
      <w:r>
        <w:t>5.7 本章小结</w:t>
      </w:r>
    </w:p>
    <w:p>
      <w:pPr>
        <w:spacing w:after="100" w:line="360" w:lineRule="auto"/>
        <w:ind w:firstLineChars="200"/>
      </w:pPr>
      <w:r>
        <w:t>本章介绍了 Jetson Nano 端边缘 AI 推理系统设计。系统采用 YOLOv8n 模型和 TensorRT FP16 引擎完成目标检测，通过 letterbox 预处理保持图像比例，通过后处理解析检测框并完成 NMS 筛选；在缺陷判定方面，程序根据检测结果和类别配置生成缺陷或正常状态，并通过 UART 回复 STM32。该设计使视觉推理能够与 STM32 控制流程配合，完成传送带产品检测与自动分拣的边缘端识别功能。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qFormat/>
    <w:pPr>
      <w:spacing w:before="360" w:after="240"/>
      <w:jc w:val="center"/>
    </w:pPr>
    <w:rPr>
      <w:b/>
      <w:rFonts w:ascii="Times New Roman" w:eastAsia="黑体" w:hAnsi="Times New Roman"/>
      <w:sz w:val="32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b/>
      <w:rFonts w:ascii="Times New Roman" w:eastAsia="黑体" w:hAnsi="Times New Roman"/>
      <w:sz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b/>
      <w:rFonts w:ascii="Times New Roman" w:eastAsia="黑体" w:hAnsi="Times New Roman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