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第六章 系统集成与实验</w:t>
      </w:r>
    </w:p>
    <w:p>
      <w:pPr>
        <w:pStyle w:val="Heading2"/>
      </w:pPr>
      <w:r>
        <w:t>6.1 系统集成流程</w:t>
      </w:r>
    </w:p>
    <w:p>
      <w:pPr>
        <w:spacing w:after="100" w:line="360" w:lineRule="auto"/>
        <w:ind w:firstLineChars="200"/>
      </w:pPr>
      <w:r>
        <w:t>系统集成的目标是验证 Jetson Nano 边缘推理模块、STM32 实时控制模块、传送带执行机构和串口通信链路能否稳定协同工作。集成过程按照由单模块到整机联调的顺序进行，先分别验证 STM32 控制、Jetson 推理和串口收发，再进行完整流程测试。</w:t>
      </w:r>
    </w:p>
    <w:p>
      <w:pPr>
        <w:spacing w:after="100" w:line="360" w:lineRule="auto"/>
        <w:ind w:firstLineChars="200"/>
      </w:pPr>
      <w:r>
        <w:t>STM32 端首先完成 GPIO、TIM2 PWM、USART1 和 FreeRTOS 任务运行验证。通过观察传送带电机运行状态，确认 TB6600 能够正确接收 PWM 脉冲；通过手动遮挡光电开关，确认 PA6 输入能够触发检测任务；通过控制 PA7 输出，确认气缸电磁阀能够完成推出和复位动作。</w:t>
      </w:r>
    </w:p>
    <w:p>
      <w:pPr>
        <w:spacing w:after="100" w:line="360" w:lineRule="auto"/>
        <w:ind w:firstLineChars="200"/>
      </w:pPr>
      <w:r>
        <w:t>Jetson 端首先验证摄像头采集和 TensorRT 推理程序能否正常运行。程序启动后加载 `yolov8n_fp16.engine`，打开 USB 摄像头，并等待串口触发帧。调试阶段可开启检测窗口和串口十六进制打印，检查图像输入、检测框显示和串口数据是否正确。</w:t>
      </w:r>
    </w:p>
    <w:p>
      <w:pPr>
        <w:spacing w:after="100" w:line="360" w:lineRule="auto"/>
        <w:ind w:firstLineChars="200"/>
      </w:pPr>
      <w:r>
        <w:t>在两端单独验证完成后，将 STM32 的 USART1 与 Jetson 串口连接，并保证两端共地。STM32 检测到产品后发送触发帧，Jetson 收到后执行推理并返回判定帧，STM32 根据返回结果控制传送带和气缸动作。该过程构成系统完整闭环。</w:t>
      </w:r>
    </w:p>
    <w:p>
      <w:pPr>
        <w:pStyle w:val="Heading2"/>
      </w:pPr>
      <w:r>
        <w:t>6.2 串口通信验证</w:t>
      </w:r>
    </w:p>
    <w:p>
      <w:pPr>
        <w:spacing w:after="100" w:line="360" w:lineRule="auto"/>
        <w:ind w:firstLineChars="200"/>
      </w:pPr>
      <w:r>
        <w:t>串口通信是 STM32 与 Jetson 协同工作的关键。实验中首先验证 STM32 上行触发帧是否正确发送。根据协议设计，STM32 发送帧格式为 `AA 55 10 01 00 11`，其中 `0x11` 为 `0x10 ^ 0x01 ^ 0x00` 的校验结果。</w:t>
      </w:r>
    </w:p>
    <w:p>
      <w:pPr>
        <w:spacing w:after="100" w:line="360" w:lineRule="auto"/>
        <w:ind w:firstLineChars="200"/>
      </w:pPr>
      <w:r>
        <w:t>Jetson 返回帧格式为 `BB STATUS XOR`。当检测结果为缺陷品时，返回 `BB 01 BA`；当检测结果为正常品时，返回 `BB 02 B9`。STM32 接收后检查帧头和 XOR 校验，若校验正确则更新检测结果；若超时或校验失败，则按正常品放行。</w:t>
      </w:r>
    </w:p>
    <w:p>
      <w:pPr>
        <w:spacing w:after="100" w:line="360" w:lineRule="auto"/>
        <w:ind w:firstLineChars="200"/>
      </w:pPr>
      <w:r>
        <w:t>通信验证可采用串口调试工具或逻辑分析仪进行。测试内容包括帧头是否正确、波特率是否一致、字节顺序是否正确、校验值是否匹配以及异常帧是否会被丢弃。测试记录表如表 6-1 所示。</w:t>
      </w:r>
    </w:p>
    <w:p>
      <w:pPr>
        <w:spacing w:after="100" w:line="360" w:lineRule="auto"/>
        <w:ind w:firstLineChars="200"/>
      </w:pPr>
      <w:r>
        <w:t>| 测试项目 | 预期结果 | 实测结果 |</w:t>
      </w:r>
    </w:p>
    <w:p>
      <w:pPr>
        <w:spacing w:after="100" w:line="360" w:lineRule="auto"/>
        <w:ind w:firstLineChars="200"/>
      </w:pPr>
      <w:r>
        <w:t>| --- | --- | --- |</w:t>
      </w:r>
    </w:p>
    <w:p>
      <w:pPr>
        <w:spacing w:after="100" w:line="360" w:lineRule="auto"/>
        <w:ind w:firstLineChars="200"/>
      </w:pPr>
      <w:r>
        <w:t>| STM32 发送触发帧 | `AA 55 10 01 00 11` | 待填写 |</w:t>
      </w:r>
    </w:p>
    <w:p>
      <w:pPr>
        <w:spacing w:after="100" w:line="360" w:lineRule="auto"/>
        <w:ind w:firstLineChars="200"/>
      </w:pPr>
      <w:r>
        <w:t>| Jetson 返回缺陷帧 | `BB 01 BA` | 待填写 |</w:t>
      </w:r>
    </w:p>
    <w:p>
      <w:pPr>
        <w:spacing w:after="100" w:line="360" w:lineRule="auto"/>
        <w:ind w:firstLineChars="200"/>
      </w:pPr>
      <w:r>
        <w:t>| Jetson 返回正常帧 | `BB 02 B9` | 待填写 |</w:t>
      </w:r>
    </w:p>
    <w:p>
      <w:pPr>
        <w:spacing w:after="100" w:line="360" w:lineRule="auto"/>
        <w:ind w:firstLineChars="200"/>
      </w:pPr>
      <w:r>
        <w:t>| 错误校验帧处理 | STM32 按正常放行 | 待填写 |</w:t>
      </w:r>
    </w:p>
    <w:p>
      <w:pPr>
        <w:spacing w:after="100" w:line="360" w:lineRule="auto"/>
        <w:ind w:firstLineChars="200"/>
      </w:pPr>
      <w:r>
        <w:t>| 通信超时处理 | STM32 按正常放行 | 待填写 |</w:t>
      </w:r>
    </w:p>
    <w:p>
      <w:pPr>
        <w:pStyle w:val="Heading2"/>
      </w:pPr>
      <w:r>
        <w:t>6.3 功能测试</w:t>
      </w:r>
    </w:p>
    <w:p>
      <w:pPr>
        <w:spacing w:after="100" w:line="360" w:lineRule="auto"/>
        <w:ind w:firstLineChars="200"/>
      </w:pPr>
      <w:r>
        <w:t>功能测试用于验证系统能否完成从产品到位到分拣执行的完整流程。测试时将待测产品放置在传送带上，使其经过光电开关检测位置。系统应依次完成光电触发、传送带停止、Jetson 拍照推理、串口返回结果、气缸动作或正常放行、传送带恢复运行。</w:t>
      </w:r>
    </w:p>
    <w:p>
      <w:pPr>
        <w:spacing w:after="100" w:line="360" w:lineRule="auto"/>
        <w:ind w:firstLineChars="200"/>
      </w:pPr>
      <w:r>
        <w:t>缺陷品测试时，Jetson 推理结果应返回 `STATUS=0x01`。STM32 接收到缺陷结果后，控制 PA7 输出高电平，电磁阀动作并驱动气缸推出，保持约 1000 ms 后复位，最后恢复传送带运行。</w:t>
      </w:r>
    </w:p>
    <w:p>
      <w:pPr>
        <w:spacing w:after="100" w:line="360" w:lineRule="auto"/>
        <w:ind w:firstLineChars="200"/>
      </w:pPr>
      <w:r>
        <w:t>正常品测试时，Jetson 推理结果应返回 `STATUS=0x02`。STM32 接收到正常结果后不触发气缸，直接恢复传送带运行，使产品继续前进。</w:t>
      </w:r>
    </w:p>
    <w:p>
      <w:pPr>
        <w:spacing w:after="100" w:line="360" w:lineRule="auto"/>
        <w:ind w:firstLineChars="200"/>
      </w:pPr>
      <w:r>
        <w:t>为验证系统容错能力，还需要进行异常测试。可通过暂时断开 Jetson 串口、发送错误校验帧或关闭推理程序，观察 STM32 是否在超时后按正常品放行，避免传送带长时间停止。</w:t>
      </w:r>
    </w:p>
    <w:p>
      <w:pPr>
        <w:spacing w:after="100" w:line="360" w:lineRule="auto"/>
        <w:ind w:firstLineChars="200"/>
      </w:pPr>
      <w:r>
        <w:t>| 测试项目 | 测试方法 | 预期结果 | 实测结果 |</w:t>
      </w:r>
    </w:p>
    <w:p>
      <w:pPr>
        <w:spacing w:after="100" w:line="360" w:lineRule="auto"/>
        <w:ind w:firstLineChars="200"/>
      </w:pPr>
      <w:r>
        <w:t>| --- | --- | --- | --- |</w:t>
      </w:r>
    </w:p>
    <w:p>
      <w:pPr>
        <w:spacing w:after="100" w:line="360" w:lineRule="auto"/>
        <w:ind w:firstLineChars="200"/>
      </w:pPr>
      <w:r>
        <w:t>| 光电触发测试 | 遮挡光电开关 | 传送带停止并发送触发帧 | 待填写 |</w:t>
      </w:r>
    </w:p>
    <w:p>
      <w:pPr>
        <w:spacing w:after="100" w:line="360" w:lineRule="auto"/>
        <w:ind w:firstLineChars="200"/>
      </w:pPr>
      <w:r>
        <w:t>| 缺陷品剔除测试 | 放置缺陷样品 | 气缸推出并复位 | 待填写 |</w:t>
      </w:r>
    </w:p>
    <w:p>
      <w:pPr>
        <w:spacing w:after="100" w:line="360" w:lineRule="auto"/>
        <w:ind w:firstLineChars="200"/>
      </w:pPr>
      <w:r>
        <w:t>| 正常品放行测试 | 放置正常样品 | 气缸不动作，传送带恢复 | 待填写 |</w:t>
      </w:r>
    </w:p>
    <w:p>
      <w:pPr>
        <w:spacing w:after="100" w:line="360" w:lineRule="auto"/>
        <w:ind w:firstLineChars="200"/>
      </w:pPr>
      <w:r>
        <w:t>| 重复触发测试 | 产品停留在光电处 | 不连续重复触发 | 待填写 |</w:t>
      </w:r>
    </w:p>
    <w:p>
      <w:pPr>
        <w:spacing w:after="100" w:line="360" w:lineRule="auto"/>
        <w:ind w:firstLineChars="200"/>
      </w:pPr>
      <w:r>
        <w:t>| 超时容错测试 | Jetson 不返回数据 | 超时后正常放行 | 待填写 |</w:t>
      </w:r>
    </w:p>
    <w:p>
      <w:pPr>
        <w:pStyle w:val="Heading2"/>
      </w:pPr>
      <w:r>
        <w:t>6.4 性能测试</w:t>
      </w:r>
    </w:p>
    <w:p>
      <w:pPr>
        <w:spacing w:after="100" w:line="360" w:lineRule="auto"/>
        <w:ind w:firstLineChars="200"/>
      </w:pPr>
      <w:r>
        <w:t>性能测试主要关注系统端到端延迟和 Jetson 推理耗时。端到端延迟指从光电开关触发到 STM32 执行分拣动作之间的时间，包含传送带停止、串口发送、图像采集、模型推理、后处理、串口回复和控制执行等环节。</w:t>
      </w:r>
    </w:p>
    <w:p>
      <w:pPr>
        <w:spacing w:after="100" w:line="360" w:lineRule="auto"/>
        <w:ind w:firstLineChars="200"/>
      </w:pPr>
      <w:r>
        <w:t>Jetson 端推理耗时可进一步分解为图像采集时间、预处理时间、TensorRT 推理时间、后处理时间和串口回复时间。通过在程序关键位置记录时间戳，可以得到每个阶段的耗时。STM32 端可通过串口打印、逻辑分析仪或示波器观察触发信号、串口帧和气缸控制信号之间的时间关系。</w:t>
      </w:r>
    </w:p>
    <w:p>
      <w:pPr>
        <w:spacing w:after="100" w:line="360" w:lineRule="auto"/>
        <w:ind w:firstLineChars="200"/>
      </w:pPr>
      <w:r>
        <w:t>性能记录表如表 6-3 所示，后续可根据实际测试数据填写平均值、最大值和最小值。</w:t>
      </w:r>
    </w:p>
    <w:p>
      <w:pPr>
        <w:spacing w:after="100" w:line="360" w:lineRule="auto"/>
        <w:ind w:firstLineChars="200"/>
      </w:pPr>
      <w:r>
        <w:t>| 指标 | 平均值 | 最大值 | 最小值 |</w:t>
      </w:r>
    </w:p>
    <w:p>
      <w:pPr>
        <w:spacing w:after="100" w:line="360" w:lineRule="auto"/>
        <w:ind w:firstLineChars="200"/>
      </w:pPr>
      <w:r>
        <w:t>| --- | --- | --- | --- |</w:t>
      </w:r>
    </w:p>
    <w:p>
      <w:pPr>
        <w:spacing w:after="100" w:line="360" w:lineRule="auto"/>
        <w:ind w:firstLineChars="200"/>
      </w:pPr>
      <w:r>
        <w:t>| 图像采集时间 / ms | 待填写 | 待填写 | 待填写 |</w:t>
      </w:r>
    </w:p>
    <w:p>
      <w:pPr>
        <w:spacing w:after="100" w:line="360" w:lineRule="auto"/>
        <w:ind w:firstLineChars="200"/>
      </w:pPr>
      <w:r>
        <w:t>| 图像预处理时间 / ms | 待填写 | 待填写 | 待填写 |</w:t>
      </w:r>
    </w:p>
    <w:p>
      <w:pPr>
        <w:spacing w:after="100" w:line="360" w:lineRule="auto"/>
        <w:ind w:firstLineChars="200"/>
      </w:pPr>
      <w:r>
        <w:t>| TensorRT 推理时间 / ms | 待填写 | 待填写 | 待填写 |</w:t>
      </w:r>
    </w:p>
    <w:p>
      <w:pPr>
        <w:spacing w:after="100" w:line="360" w:lineRule="auto"/>
        <w:ind w:firstLineChars="200"/>
      </w:pPr>
      <w:r>
        <w:t>| 后处理时间 / ms | 待填写 | 待填写 | 待填写 |</w:t>
      </w:r>
    </w:p>
    <w:p>
      <w:pPr>
        <w:spacing w:after="100" w:line="360" w:lineRule="auto"/>
        <w:ind w:firstLineChars="200"/>
      </w:pPr>
      <w:r>
        <w:t>| 串口通信时间 / ms | 待填写 | 待填写 | 待填写 |</w:t>
      </w:r>
    </w:p>
    <w:p>
      <w:pPr>
        <w:spacing w:after="100" w:line="360" w:lineRule="auto"/>
        <w:ind w:firstLineChars="200"/>
      </w:pPr>
      <w:r>
        <w:t>| 端到端延迟 / ms | 待填写 | 待填写 | 待填写 |</w:t>
      </w:r>
    </w:p>
    <w:p>
      <w:pPr>
        <w:spacing w:after="100" w:line="360" w:lineRule="auto"/>
        <w:ind w:firstLineChars="200"/>
      </w:pPr>
      <w:r>
        <w:t>根据系统设计，影响端到端延迟的主要因素包括模型推理速度、摄像头取帧速度、串口通信等待时间和气缸动作时间。其中，TensorRT FP16 引擎能够降低模型推理耗时；后台串口读取线程能够减少主循环阻塞；STM32 端任务同步机制保证各步骤按顺序执行。</w:t>
      </w:r>
    </w:p>
    <w:p>
      <w:pPr>
        <w:pStyle w:val="Heading2"/>
      </w:pPr>
      <w:r>
        <w:t>6.5 检测效果测试</w:t>
      </w:r>
    </w:p>
    <w:p>
      <w:pPr>
        <w:spacing w:after="100" w:line="360" w:lineRule="auto"/>
        <w:ind w:firstLineChars="200"/>
      </w:pPr>
      <w:r>
        <w:t>检测效果测试用于评估视觉模型对缺陷品和正常品的区分能力。测试时应准备一定数量的正常样品和缺陷样品，在相同传送带速度和光照条件下进行多次检测，记录检测结果与真实类别之间的关系。</w:t>
      </w:r>
    </w:p>
    <w:p>
      <w:pPr>
        <w:spacing w:after="100" w:line="360" w:lineRule="auto"/>
        <w:ind w:firstLineChars="200"/>
      </w:pPr>
      <w:r>
        <w:t>对于目标检测模型，可使用准确率、误检率和漏检率评价系统效果。误检指正常品被判定为缺陷品，漏检指缺陷品被判定为正常品。若数据集标注较完整，也可以进一步计算 mAP、Precision 和 Recall 等指标。</w:t>
      </w:r>
    </w:p>
    <w:p>
      <w:pPr>
        <w:spacing w:after="100" w:line="360" w:lineRule="auto"/>
        <w:ind w:firstLineChars="200"/>
      </w:pPr>
      <w:r>
        <w:t>| 样品类型 | 样品数量 | 正确识别数 | 误检数 | 漏检数 | 正确率 |</w:t>
      </w:r>
    </w:p>
    <w:p>
      <w:pPr>
        <w:spacing w:after="100" w:line="360" w:lineRule="auto"/>
        <w:ind w:firstLineChars="200"/>
      </w:pPr>
      <w:r>
        <w:t>| --- | --- | --- | --- | --- | --- |</w:t>
      </w:r>
    </w:p>
    <w:p>
      <w:pPr>
        <w:spacing w:after="100" w:line="360" w:lineRule="auto"/>
        <w:ind w:firstLineChars="200"/>
      </w:pPr>
      <w:r>
        <w:t>| 正常品 | 待填写 | 待填写 | 待填写 | - | 待填写 |</w:t>
      </w:r>
    </w:p>
    <w:p>
      <w:pPr>
        <w:spacing w:after="100" w:line="360" w:lineRule="auto"/>
        <w:ind w:firstLineChars="200"/>
      </w:pPr>
      <w:r>
        <w:t>| 缺陷品 | 待填写 | 待填写 | - | 待填写 | 待填写 |</w:t>
      </w:r>
    </w:p>
    <w:p>
      <w:pPr>
        <w:spacing w:after="100" w:line="360" w:lineRule="auto"/>
        <w:ind w:firstLineChars="200"/>
      </w:pPr>
      <w:r>
        <w:t>为验证系统鲁棒性，可在不同光照条件、不同产品摆放角度和不同传送带速度下重复测试。若发现误检或漏检较多，可从训练样本数量、类别配置、置信度阈值、摄像头角度和补光条件等方面进行调整。</w:t>
      </w:r>
    </w:p>
    <w:p>
      <w:pPr>
        <w:pStyle w:val="Heading2"/>
      </w:pPr>
      <w:r>
        <w:t>6.6 本章小结</w:t>
      </w:r>
    </w:p>
    <w:p>
      <w:pPr>
        <w:spacing w:after="100" w:line="360" w:lineRule="auto"/>
        <w:ind w:firstLineChars="200"/>
      </w:pPr>
      <w:r>
        <w:t>本章设计了系统集成与实验测试方案，分别从串口通信、完整功能、系统性能和检测效果四个方面验证传送带视觉缺陷检测与自动分拣系统。实验流程由单模块测试逐步过渡到整机联调，能够检查 STM32 控制、Jetson 推理、UART 通信和执行机构动作是否协同正常。由于具体性能和检测精度需要结合实物平台测量，本章给出了相应测试表格和记录指标，为后续实测数据整理提供依据。</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eastAsia="宋体" w:hAnsi="Times New Roman"/>
      <w:sz w:val="24"/>
    </w:rPr>
  </w:style>
  <w:style w:type="paragraph" w:styleId="Heading1">
    <w:name w:val="heading 1"/>
    <w:basedOn w:val="Normal"/>
    <w:next w:val="Normal"/>
    <w:qFormat/>
    <w:pPr>
      <w:spacing w:before="360" w:after="240"/>
      <w:jc w:val="center"/>
    </w:pPr>
    <w:rPr>
      <w:b/>
      <w:rFonts w:ascii="Times New Roman" w:eastAsia="黑体" w:hAnsi="Times New Roman"/>
      <w:sz w:val="32"/>
    </w:rPr>
  </w:style>
  <w:style w:type="paragraph" w:styleId="Heading2">
    <w:name w:val="heading 2"/>
    <w:basedOn w:val="Normal"/>
    <w:next w:val="Normal"/>
    <w:qFormat/>
    <w:pPr>
      <w:spacing w:before="240" w:after="160"/>
    </w:pPr>
    <w:rPr>
      <w:b/>
      <w:rFonts w:ascii="Times New Roman" w:eastAsia="黑体" w:hAnsi="Times New Roman"/>
      <w:sz w:val="28"/>
    </w:rPr>
  </w:style>
  <w:style w:type="paragraph" w:styleId="Heading3">
    <w:name w:val="heading 3"/>
    <w:basedOn w:val="Normal"/>
    <w:next w:val="Normal"/>
    <w:qFormat/>
    <w:pPr>
      <w:spacing w:before="200" w:after="120"/>
    </w:pPr>
    <w:rPr>
      <w:b/>
      <w:rFonts w:ascii="Times New Roman" w:eastAsia="黑体" w:hAnsi="Times New Roman"/>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